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595BBA" w14:textId="77777777" w:rsidR="003233F1" w:rsidRPr="00F53236" w:rsidRDefault="003233F1" w:rsidP="003233F1">
      <w:pPr>
        <w:ind w:left="360"/>
        <w:jc w:val="center"/>
        <w:rPr>
          <w:b/>
        </w:rPr>
      </w:pPr>
      <w:r w:rsidRPr="00F53236">
        <w:rPr>
          <w:b/>
        </w:rPr>
        <w:t>MASON HALL</w:t>
      </w:r>
    </w:p>
    <w:p w14:paraId="7120A1E5" w14:textId="77777777" w:rsidR="00C318D6" w:rsidRPr="00F53236" w:rsidRDefault="00C318D6" w:rsidP="003233F1">
      <w:pPr>
        <w:ind w:left="360"/>
        <w:jc w:val="center"/>
        <w:rPr>
          <w:b/>
        </w:rPr>
      </w:pPr>
      <w:r w:rsidRPr="00F53236">
        <w:rPr>
          <w:b/>
        </w:rPr>
        <w:t xml:space="preserve">Appendix </w:t>
      </w:r>
      <w:r w:rsidR="00591883" w:rsidRPr="00F53236">
        <w:rPr>
          <w:b/>
        </w:rPr>
        <w:t>A</w:t>
      </w:r>
    </w:p>
    <w:p w14:paraId="0BEFC3CB" w14:textId="77777777" w:rsidR="00C318D6" w:rsidRPr="00F53236" w:rsidRDefault="003233F1" w:rsidP="00C318D6">
      <w:pPr>
        <w:ind w:left="360"/>
        <w:jc w:val="center"/>
        <w:rPr>
          <w:b/>
        </w:rPr>
      </w:pPr>
      <w:r w:rsidRPr="00F53236">
        <w:rPr>
          <w:b/>
        </w:rPr>
        <w:t xml:space="preserve">Priority Groups </w:t>
      </w:r>
      <w:r w:rsidR="001C3A4C" w:rsidRPr="00F53236">
        <w:rPr>
          <w:b/>
        </w:rPr>
        <w:t xml:space="preserve">- </w:t>
      </w:r>
      <w:r w:rsidRPr="00F53236">
        <w:rPr>
          <w:b/>
        </w:rPr>
        <w:t xml:space="preserve">Charges </w:t>
      </w:r>
      <w:r w:rsidR="00641E7A" w:rsidRPr="00F53236">
        <w:rPr>
          <w:b/>
        </w:rPr>
        <w:t>for Mason Hall</w:t>
      </w:r>
    </w:p>
    <w:p w14:paraId="08370CB4" w14:textId="77777777" w:rsidR="008B25DE" w:rsidRPr="00F53236" w:rsidRDefault="008B25DE" w:rsidP="003233F1">
      <w:pPr>
        <w:ind w:left="360"/>
        <w:jc w:val="center"/>
        <w:rPr>
          <w:b/>
        </w:rPr>
      </w:pPr>
      <w:r w:rsidRPr="00F53236">
        <w:rPr>
          <w:b/>
        </w:rPr>
        <w:t>(</w:t>
      </w:r>
      <w:r w:rsidR="001C3A4C" w:rsidRPr="00F53236">
        <w:rPr>
          <w:b/>
        </w:rPr>
        <w:t xml:space="preserve">April </w:t>
      </w:r>
      <w:r w:rsidR="00715B8C" w:rsidRPr="00F53236">
        <w:rPr>
          <w:b/>
        </w:rPr>
        <w:t>2</w:t>
      </w:r>
      <w:r w:rsidR="001C3A4C" w:rsidRPr="00F53236">
        <w:rPr>
          <w:b/>
        </w:rPr>
        <w:t>, 2019</w:t>
      </w:r>
      <w:r w:rsidRPr="00F53236">
        <w:rPr>
          <w:b/>
        </w:rPr>
        <w:t>)</w:t>
      </w:r>
    </w:p>
    <w:p w14:paraId="42EF1395" w14:textId="77777777" w:rsidR="003233F1" w:rsidRPr="00F53236" w:rsidRDefault="003233F1" w:rsidP="00621F46">
      <w:pPr>
        <w:ind w:left="360"/>
        <w:jc w:val="both"/>
        <w:rPr>
          <w:b/>
        </w:rPr>
      </w:pPr>
    </w:p>
    <w:p w14:paraId="68CF0BD3" w14:textId="77777777" w:rsidR="003233F1" w:rsidRPr="00F53236" w:rsidRDefault="003233F1" w:rsidP="00621F46">
      <w:pPr>
        <w:ind w:left="360"/>
        <w:jc w:val="both"/>
        <w:rPr>
          <w:b/>
        </w:rPr>
      </w:pPr>
    </w:p>
    <w:p w14:paraId="6A058F8B" w14:textId="71B847A9" w:rsidR="00621F46" w:rsidRPr="00F53236" w:rsidRDefault="00621F46" w:rsidP="002A7219">
      <w:pPr>
        <w:jc w:val="both"/>
        <w:rPr>
          <w:b/>
          <w:i/>
        </w:rPr>
      </w:pPr>
      <w:r w:rsidRPr="00F53236">
        <w:rPr>
          <w:b/>
          <w:i/>
        </w:rPr>
        <w:t>Priority Group I (</w:t>
      </w:r>
      <w:r w:rsidR="001C3A4C" w:rsidRPr="00F53236">
        <w:rPr>
          <w:b/>
          <w:i/>
        </w:rPr>
        <w:t xml:space="preserve">October - </w:t>
      </w:r>
      <w:r w:rsidR="008F0917" w:rsidRPr="00F53236">
        <w:rPr>
          <w:b/>
          <w:i/>
        </w:rPr>
        <w:t>ongoing</w:t>
      </w:r>
      <w:r w:rsidRPr="00F53236">
        <w:rPr>
          <w:b/>
          <w:i/>
        </w:rPr>
        <w:t>)</w:t>
      </w:r>
      <w:r w:rsidRPr="00F53236">
        <w:rPr>
          <w:b/>
          <w:i/>
        </w:rPr>
        <w:tab/>
      </w:r>
    </w:p>
    <w:p w14:paraId="7260A4EE" w14:textId="5892712F" w:rsidR="00641E7A" w:rsidRPr="00F53236" w:rsidRDefault="00641E7A" w:rsidP="00641E7A">
      <w:pPr>
        <w:jc w:val="both"/>
      </w:pPr>
      <w:r w:rsidRPr="00F53236">
        <w:t>Academic</w:t>
      </w:r>
      <w:r w:rsidR="00621F46" w:rsidRPr="00F53236">
        <w:t xml:space="preserve"> functions of the School of Music: all academic courses and activities, including classes, ensemble rehearsals, curricular performances, juries, hearings and examinations; recruitment activities, such as orientation days and audition days; and special events and programs sponsored by the School of Music, camps, and major residencies.  </w:t>
      </w:r>
    </w:p>
    <w:p w14:paraId="00A42BB6" w14:textId="77777777" w:rsidR="00641E7A" w:rsidRPr="00F53236" w:rsidRDefault="00641E7A" w:rsidP="00641E7A">
      <w:pPr>
        <w:jc w:val="both"/>
      </w:pPr>
    </w:p>
    <w:p w14:paraId="352D924D" w14:textId="77777777" w:rsidR="00641E7A" w:rsidRPr="00F53236" w:rsidRDefault="00641E7A" w:rsidP="00641E7A">
      <w:pPr>
        <w:jc w:val="both"/>
      </w:pPr>
      <w:r w:rsidRPr="00F53236">
        <w:t>Academic ensembles and events will schedule concerts in the following order:</w:t>
      </w:r>
    </w:p>
    <w:p w14:paraId="30525BC2" w14:textId="77777777" w:rsidR="00641E7A" w:rsidRPr="00F53236" w:rsidRDefault="00641E7A" w:rsidP="00641E7A">
      <w:pPr>
        <w:jc w:val="both"/>
      </w:pPr>
    </w:p>
    <w:p w14:paraId="6296E0E7" w14:textId="050D0433" w:rsidR="003233F1" w:rsidRPr="00F53236" w:rsidRDefault="00641E7A" w:rsidP="00641E7A">
      <w:pPr>
        <w:ind w:left="360"/>
        <w:jc w:val="both"/>
      </w:pPr>
      <w:r w:rsidRPr="00F53236">
        <w:t xml:space="preserve">Group A: Wind Ensemble, Concert Band, Wind Symphony, All College Band, Symphony Orchestra, Chamber Orchestra, Chamber Singers, College Choir, </w:t>
      </w:r>
      <w:r w:rsidR="001C3A4C" w:rsidRPr="00F53236">
        <w:t>Camerata</w:t>
      </w:r>
      <w:r w:rsidRPr="00F53236">
        <w:t xml:space="preserve">, University Chorus, </w:t>
      </w:r>
      <w:proofErr w:type="spellStart"/>
      <w:r w:rsidRPr="00F53236">
        <w:t>MasterWorks</w:t>
      </w:r>
      <w:proofErr w:type="spellEnd"/>
      <w:r w:rsidRPr="00F53236">
        <w:t>, Musical, Opera, and Concerto Competition.</w:t>
      </w:r>
      <w:r w:rsidR="003233F1" w:rsidRPr="00F53236">
        <w:t xml:space="preserve">  </w:t>
      </w:r>
    </w:p>
    <w:p w14:paraId="513EE1AF" w14:textId="77777777" w:rsidR="00641E7A" w:rsidRPr="00F53236" w:rsidRDefault="00641E7A" w:rsidP="00641E7A">
      <w:pPr>
        <w:ind w:left="360"/>
        <w:jc w:val="both"/>
      </w:pPr>
    </w:p>
    <w:p w14:paraId="7464DDF9" w14:textId="68C83AC5" w:rsidR="00641E7A" w:rsidRPr="00F53236" w:rsidRDefault="00641E7A" w:rsidP="00641E7A">
      <w:pPr>
        <w:ind w:left="360"/>
        <w:jc w:val="both"/>
      </w:pPr>
      <w:r w:rsidRPr="00F53236">
        <w:t xml:space="preserve">Group B: African Drumming, </w:t>
      </w:r>
      <w:r w:rsidR="001C3A4C" w:rsidRPr="00F53236">
        <w:t>New Jazz Ensemble, Jazz Orchestra,</w:t>
      </w:r>
      <w:r w:rsidRPr="00F53236">
        <w:t xml:space="preserve"> </w:t>
      </w:r>
      <w:proofErr w:type="spellStart"/>
      <w:r w:rsidRPr="00F53236">
        <w:t>Flutasia</w:t>
      </w:r>
      <w:proofErr w:type="spellEnd"/>
      <w:r w:rsidR="001C3A4C" w:rsidRPr="00F53236">
        <w:t xml:space="preserve"> Flute Ensemble</w:t>
      </w:r>
      <w:r w:rsidRPr="00F53236">
        <w:t xml:space="preserve">, Guitar Ensembles, Percussion Ensembles, Saxophone Ensembles, World Mallet Ensembles, </w:t>
      </w:r>
      <w:r w:rsidR="008534A8" w:rsidRPr="00F53236">
        <w:t>Improv Collective</w:t>
      </w:r>
      <w:r w:rsidRPr="00F53236">
        <w:t xml:space="preserve">, </w:t>
      </w:r>
      <w:r w:rsidR="00CD4F1C" w:rsidRPr="00F53236">
        <w:t xml:space="preserve">and </w:t>
      </w:r>
      <w:r w:rsidRPr="00F53236">
        <w:t>Student Composers.</w:t>
      </w:r>
    </w:p>
    <w:p w14:paraId="5CA48CC5" w14:textId="77777777" w:rsidR="00641E7A" w:rsidRPr="00F53236" w:rsidRDefault="00641E7A" w:rsidP="00641E7A">
      <w:pPr>
        <w:ind w:left="360"/>
        <w:jc w:val="both"/>
      </w:pPr>
    </w:p>
    <w:p w14:paraId="2FB95063" w14:textId="24FDEDC9" w:rsidR="00641E7A" w:rsidRPr="00F53236" w:rsidRDefault="00641E7A" w:rsidP="00641E7A">
      <w:pPr>
        <w:ind w:left="360"/>
        <w:jc w:val="both"/>
      </w:pPr>
      <w:r w:rsidRPr="00F53236">
        <w:t xml:space="preserve">Group C: Faculty Showcase Recitals, String Chamber Ensembles, Woodwind Chamber Ensembles, Brass Chamber Ensembles, </w:t>
      </w:r>
      <w:r w:rsidR="001C3A4C" w:rsidRPr="00F53236">
        <w:t xml:space="preserve">Trombone Choir, </w:t>
      </w:r>
      <w:r w:rsidR="008534A8" w:rsidRPr="00F53236">
        <w:t xml:space="preserve">The Claudette Sorel </w:t>
      </w:r>
      <w:r w:rsidRPr="00F53236">
        <w:t xml:space="preserve">Piano </w:t>
      </w:r>
      <w:r w:rsidR="008B2BEF" w:rsidRPr="00F53236">
        <w:t>Competition, Bass Festival, Bassoon Ensemble</w:t>
      </w:r>
      <w:r w:rsidRPr="00F53236">
        <w:t xml:space="preserve">, </w:t>
      </w:r>
      <w:r w:rsidR="008534A8" w:rsidRPr="00F53236">
        <w:t xml:space="preserve">Clarinet Ensemble, </w:t>
      </w:r>
      <w:r w:rsidRPr="00F53236">
        <w:t xml:space="preserve">Double Reed Day, </w:t>
      </w:r>
      <w:r w:rsidR="001C3A4C" w:rsidRPr="00F53236">
        <w:t xml:space="preserve">Oboe Day, </w:t>
      </w:r>
      <w:r w:rsidRPr="00F53236">
        <w:t xml:space="preserve">String </w:t>
      </w:r>
      <w:r w:rsidR="001C3A4C" w:rsidRPr="00F53236">
        <w:t xml:space="preserve">Festival </w:t>
      </w:r>
      <w:r w:rsidR="008534A8" w:rsidRPr="00F53236">
        <w:t xml:space="preserve">and </w:t>
      </w:r>
      <w:r w:rsidR="001C3A4C" w:rsidRPr="00F53236">
        <w:t>Western New York Chamber Orchestra</w:t>
      </w:r>
      <w:r w:rsidRPr="00F53236">
        <w:t>.</w:t>
      </w:r>
    </w:p>
    <w:p w14:paraId="734DB23D" w14:textId="77777777" w:rsidR="00621F46" w:rsidRPr="00F53236" w:rsidRDefault="00621F46" w:rsidP="002A7219">
      <w:pPr>
        <w:jc w:val="both"/>
      </w:pPr>
    </w:p>
    <w:p w14:paraId="06BBCAEB" w14:textId="77777777" w:rsidR="00621F46" w:rsidRPr="00F53236" w:rsidRDefault="00621F46" w:rsidP="002A7219">
      <w:pPr>
        <w:jc w:val="both"/>
        <w:rPr>
          <w:b/>
        </w:rPr>
      </w:pPr>
      <w:r w:rsidRPr="00F53236">
        <w:rPr>
          <w:b/>
          <w:i/>
        </w:rPr>
        <w:t>Priority Group II (February 1</w:t>
      </w:r>
      <w:r w:rsidR="008B2BEF" w:rsidRPr="00F53236">
        <w:rPr>
          <w:b/>
          <w:i/>
        </w:rPr>
        <w:t xml:space="preserve"> - ongoing</w:t>
      </w:r>
      <w:r w:rsidRPr="00F53236">
        <w:rPr>
          <w:b/>
          <w:i/>
        </w:rPr>
        <w:t>)</w:t>
      </w:r>
      <w:r w:rsidRPr="00F53236">
        <w:rPr>
          <w:b/>
        </w:rPr>
        <w:tab/>
      </w:r>
      <w:r w:rsidRPr="00F53236">
        <w:rPr>
          <w:b/>
        </w:rPr>
        <w:tab/>
      </w:r>
    </w:p>
    <w:p w14:paraId="6D645D7A" w14:textId="77777777" w:rsidR="00621F46" w:rsidRPr="00F53236" w:rsidRDefault="008B2BEF" w:rsidP="002A7219">
      <w:pPr>
        <w:pStyle w:val="BodyTextIndent"/>
        <w:ind w:left="0"/>
      </w:pPr>
      <w:r w:rsidRPr="00F53236">
        <w:t xml:space="preserve">University events sponsored by </w:t>
      </w:r>
      <w:r w:rsidR="00621F46" w:rsidRPr="00F53236">
        <w:t xml:space="preserve">The Office of the President, the Vice President for Academic Affairs, the </w:t>
      </w:r>
      <w:r w:rsidRPr="00F53236">
        <w:t xml:space="preserve">Dean of the College of Visual and Performing Arts.  Events include: All-Campus Meetings, </w:t>
      </w:r>
      <w:proofErr w:type="spellStart"/>
      <w:r w:rsidRPr="00F53236">
        <w:t>Kaisling</w:t>
      </w:r>
      <w:proofErr w:type="spellEnd"/>
      <w:r w:rsidRPr="00F53236">
        <w:t xml:space="preserve"> Award, President’s Award for </w:t>
      </w:r>
      <w:r w:rsidR="007128B9" w:rsidRPr="00F53236">
        <w:t>Excellence</w:t>
      </w:r>
      <w:r w:rsidRPr="00F53236">
        <w:t>, etc.)</w:t>
      </w:r>
    </w:p>
    <w:p w14:paraId="3E6315CB" w14:textId="77777777" w:rsidR="003233F1" w:rsidRPr="00F53236" w:rsidRDefault="003233F1" w:rsidP="002A7219">
      <w:pPr>
        <w:pStyle w:val="BodyTextIndent"/>
        <w:ind w:left="0"/>
      </w:pPr>
    </w:p>
    <w:p w14:paraId="7A47EBFA" w14:textId="77777777" w:rsidR="00621F46" w:rsidRPr="00F53236" w:rsidRDefault="00621F46" w:rsidP="002A7219">
      <w:pPr>
        <w:jc w:val="both"/>
        <w:rPr>
          <w:b/>
        </w:rPr>
      </w:pPr>
      <w:r w:rsidRPr="00F53236">
        <w:rPr>
          <w:b/>
          <w:i/>
        </w:rPr>
        <w:t>Priority Group III (February 15</w:t>
      </w:r>
      <w:r w:rsidR="005F7E22" w:rsidRPr="00F53236">
        <w:rPr>
          <w:b/>
          <w:i/>
        </w:rPr>
        <w:t xml:space="preserve"> - ongoing</w:t>
      </w:r>
      <w:r w:rsidRPr="00F53236">
        <w:rPr>
          <w:b/>
          <w:i/>
        </w:rPr>
        <w:t>)</w:t>
      </w:r>
      <w:r w:rsidRPr="00F53236">
        <w:rPr>
          <w:b/>
        </w:rPr>
        <w:tab/>
      </w:r>
      <w:r w:rsidRPr="00F53236">
        <w:rPr>
          <w:b/>
        </w:rPr>
        <w:tab/>
      </w:r>
    </w:p>
    <w:p w14:paraId="3434D0DB" w14:textId="77777777" w:rsidR="00621F46" w:rsidRPr="00F53236" w:rsidRDefault="00621F46" w:rsidP="002A7219">
      <w:pPr>
        <w:jc w:val="both"/>
      </w:pPr>
      <w:r w:rsidRPr="00F53236">
        <w:t>School of Music faculty</w:t>
      </w:r>
      <w:r w:rsidR="005F7E22" w:rsidRPr="00F53236">
        <w:t xml:space="preserve"> recitals.  G</w:t>
      </w:r>
      <w:r w:rsidRPr="00F53236">
        <w:t>uest artist recitals</w:t>
      </w:r>
      <w:r w:rsidR="005F7E22" w:rsidRPr="00F53236">
        <w:t xml:space="preserve"> and </w:t>
      </w:r>
      <w:r w:rsidRPr="00F53236">
        <w:t>master classes</w:t>
      </w:r>
      <w:r w:rsidR="005F7E22" w:rsidRPr="00F53236">
        <w:t xml:space="preserve"> presented through the School of Music, including selected, approved events sponsored or co-sponsored by Music SA groups.</w:t>
      </w:r>
      <w:r w:rsidRPr="00F53236">
        <w:t xml:space="preserve"> </w:t>
      </w:r>
    </w:p>
    <w:p w14:paraId="693D1EEC" w14:textId="77777777" w:rsidR="00621F46" w:rsidRPr="00F53236" w:rsidRDefault="00621F46" w:rsidP="002A7219">
      <w:pPr>
        <w:jc w:val="both"/>
      </w:pPr>
    </w:p>
    <w:p w14:paraId="68D83ADE" w14:textId="77777777" w:rsidR="00621F46" w:rsidRPr="00F53236" w:rsidRDefault="00621F46" w:rsidP="002A7219">
      <w:pPr>
        <w:jc w:val="both"/>
        <w:rPr>
          <w:b/>
        </w:rPr>
      </w:pPr>
      <w:r w:rsidRPr="00F53236">
        <w:rPr>
          <w:b/>
          <w:i/>
        </w:rPr>
        <w:t>Priority Group IV (March 1</w:t>
      </w:r>
      <w:r w:rsidR="005F7E22" w:rsidRPr="00F53236">
        <w:rPr>
          <w:b/>
          <w:i/>
        </w:rPr>
        <w:t xml:space="preserve"> </w:t>
      </w:r>
      <w:r w:rsidR="008F0917" w:rsidRPr="00F53236">
        <w:rPr>
          <w:b/>
          <w:i/>
        </w:rPr>
        <w:t>–</w:t>
      </w:r>
      <w:r w:rsidR="005F7E22" w:rsidRPr="00F53236">
        <w:rPr>
          <w:b/>
          <w:i/>
        </w:rPr>
        <w:t xml:space="preserve"> ongoing</w:t>
      </w:r>
      <w:r w:rsidR="008F0917" w:rsidRPr="00F53236">
        <w:rPr>
          <w:b/>
          <w:i/>
        </w:rPr>
        <w:t xml:space="preserve"> for fall recitals; September 1 for spring recitals</w:t>
      </w:r>
      <w:r w:rsidRPr="00F53236">
        <w:rPr>
          <w:b/>
          <w:i/>
        </w:rPr>
        <w:t>)</w:t>
      </w:r>
      <w:r w:rsidRPr="00F53236">
        <w:rPr>
          <w:b/>
        </w:rPr>
        <w:tab/>
      </w:r>
      <w:r w:rsidRPr="00F53236">
        <w:rPr>
          <w:b/>
        </w:rPr>
        <w:tab/>
      </w:r>
    </w:p>
    <w:p w14:paraId="4A574F82" w14:textId="3C980CD7" w:rsidR="002F68F8" w:rsidRPr="00F53236" w:rsidRDefault="00621F46" w:rsidP="002A7219">
      <w:pPr>
        <w:jc w:val="both"/>
      </w:pPr>
      <w:r w:rsidRPr="00F53236">
        <w:t>Student recitals</w:t>
      </w:r>
      <w:r w:rsidR="005F7E22" w:rsidRPr="00F53236">
        <w:t xml:space="preserve"> </w:t>
      </w:r>
      <w:r w:rsidR="002F68F8" w:rsidRPr="00F53236">
        <w:t>(as per Student Recital Handbook) and SA Constituted Groups and major service groups linked to the School of Music’s educational programs and mission:</w:t>
      </w:r>
    </w:p>
    <w:p w14:paraId="1292078B" w14:textId="77777777" w:rsidR="002F68F8" w:rsidRPr="00F53236" w:rsidRDefault="002F68F8" w:rsidP="002A7219">
      <w:pPr>
        <w:jc w:val="both"/>
      </w:pPr>
    </w:p>
    <w:p w14:paraId="7F05D7FD" w14:textId="77777777" w:rsidR="00FE6458" w:rsidRPr="00F53236" w:rsidRDefault="008D3168" w:rsidP="002A7219">
      <w:pPr>
        <w:jc w:val="both"/>
        <w:rPr>
          <w:b/>
        </w:rPr>
      </w:pPr>
      <w:r w:rsidRPr="00F53236">
        <w:rPr>
          <w:b/>
        </w:rPr>
        <w:t>Priority Group IV-A (March</w:t>
      </w:r>
      <w:r w:rsidR="00FE6458" w:rsidRPr="00F53236">
        <w:rPr>
          <w:b/>
        </w:rPr>
        <w:t xml:space="preserve"> 15 – ongoing)</w:t>
      </w:r>
    </w:p>
    <w:p w14:paraId="1E3C1466" w14:textId="77777777" w:rsidR="008B19A2" w:rsidRPr="00F53236" w:rsidRDefault="006715CD" w:rsidP="00D103B0">
      <w:pPr>
        <w:tabs>
          <w:tab w:val="left" w:pos="0"/>
        </w:tabs>
        <w:jc w:val="both"/>
      </w:pPr>
      <w:r w:rsidRPr="00F53236">
        <w:t>P</w:t>
      </w:r>
      <w:r w:rsidR="00D103B0" w:rsidRPr="00F53236">
        <w:t xml:space="preserve">erformances and events not specifically within the School of Music may be scheduled if they are linked to </w:t>
      </w:r>
      <w:r w:rsidRPr="00F53236">
        <w:t xml:space="preserve">School of Music </w:t>
      </w:r>
      <w:r w:rsidR="00D103B0" w:rsidRPr="00F53236">
        <w:t>education programs and mission</w:t>
      </w:r>
      <w:r w:rsidR="008B19A2" w:rsidRPr="00F53236">
        <w:t>:</w:t>
      </w:r>
    </w:p>
    <w:p w14:paraId="01E760E7" w14:textId="77777777" w:rsidR="008B19A2" w:rsidRPr="00F53236" w:rsidRDefault="008B19A2" w:rsidP="008B19A2">
      <w:pPr>
        <w:ind w:left="720"/>
        <w:jc w:val="both"/>
      </w:pPr>
      <w:r w:rsidRPr="00F53236">
        <w:t xml:space="preserve">SA Constituted Groups: Percussion Guild, Student Opera Theatre Association (SOTA), Fredonia Jazz Workshop, Ethos, </w:t>
      </w:r>
      <w:proofErr w:type="spellStart"/>
      <w:r w:rsidRPr="00F53236">
        <w:t>NAfME</w:t>
      </w:r>
      <w:proofErr w:type="spellEnd"/>
      <w:r w:rsidRPr="00F53236">
        <w:t>.</w:t>
      </w:r>
    </w:p>
    <w:p w14:paraId="247D3B36" w14:textId="77777777" w:rsidR="008B19A2" w:rsidRPr="00F53236" w:rsidRDefault="008B19A2" w:rsidP="008B19A2">
      <w:pPr>
        <w:ind w:left="720"/>
        <w:jc w:val="both"/>
      </w:pPr>
      <w:r w:rsidRPr="00F53236">
        <w:t xml:space="preserve">Major Service Groups: Phi Mu Alpha Sinfonia, Sigma Alpha Iota </w:t>
      </w:r>
    </w:p>
    <w:p w14:paraId="7355506C" w14:textId="77777777" w:rsidR="008B19A2" w:rsidRPr="00F53236" w:rsidRDefault="008B19A2" w:rsidP="00D103B0">
      <w:pPr>
        <w:tabs>
          <w:tab w:val="left" w:pos="0"/>
        </w:tabs>
        <w:jc w:val="both"/>
      </w:pPr>
    </w:p>
    <w:p w14:paraId="2AFB2CDB" w14:textId="77777777" w:rsidR="00D103B0" w:rsidRPr="00F53236" w:rsidRDefault="008B19A2" w:rsidP="00D103B0">
      <w:pPr>
        <w:tabs>
          <w:tab w:val="left" w:pos="0"/>
        </w:tabs>
        <w:jc w:val="both"/>
      </w:pPr>
      <w:r w:rsidRPr="00F53236">
        <w:lastRenderedPageBreak/>
        <w:t xml:space="preserve">and </w:t>
      </w:r>
      <w:r w:rsidR="00D103B0" w:rsidRPr="00F53236">
        <w:t>School of Music affiliate organizations (</w:t>
      </w:r>
      <w:r w:rsidR="00D103B0" w:rsidRPr="00F53236">
        <w:rPr>
          <w:i/>
          <w:iCs/>
        </w:rPr>
        <w:t>e.g.</w:t>
      </w:r>
      <w:r w:rsidR="00D103B0" w:rsidRPr="00F53236">
        <w:t xml:space="preserve"> Western New York Chamber Orchestra, Chautauqua Youth Chorus, </w:t>
      </w:r>
      <w:r w:rsidRPr="00F53236">
        <w:t xml:space="preserve">and </w:t>
      </w:r>
      <w:r w:rsidR="00D103B0" w:rsidRPr="00F53236">
        <w:t>New Horizons Band of Western New York)</w:t>
      </w:r>
      <w:r w:rsidR="006715CD" w:rsidRPr="00F53236">
        <w:t>;</w:t>
      </w:r>
      <w:r w:rsidR="00D103B0" w:rsidRPr="00F53236">
        <w:t xml:space="preserve"> and other such activities as approved by the Director.</w:t>
      </w:r>
    </w:p>
    <w:p w14:paraId="00F49D83" w14:textId="77777777" w:rsidR="008D3168" w:rsidRPr="00F53236" w:rsidRDefault="008D3168" w:rsidP="002A7219">
      <w:pPr>
        <w:jc w:val="both"/>
      </w:pPr>
      <w:r w:rsidRPr="00F53236">
        <w:t xml:space="preserve"> </w:t>
      </w:r>
    </w:p>
    <w:p w14:paraId="434B56CC" w14:textId="77777777" w:rsidR="00621F46" w:rsidRPr="00F53236" w:rsidRDefault="00621F46" w:rsidP="002A7219">
      <w:pPr>
        <w:jc w:val="both"/>
        <w:rPr>
          <w:b/>
          <w:i/>
        </w:rPr>
      </w:pPr>
      <w:r w:rsidRPr="00F53236">
        <w:rPr>
          <w:b/>
          <w:i/>
        </w:rPr>
        <w:t>Priority Group V (April 1</w:t>
      </w:r>
      <w:r w:rsidR="002F68F8" w:rsidRPr="00F53236">
        <w:rPr>
          <w:b/>
          <w:i/>
        </w:rPr>
        <w:t xml:space="preserve"> - ongoing</w:t>
      </w:r>
      <w:r w:rsidR="00C06DC3" w:rsidRPr="00F53236">
        <w:rPr>
          <w:b/>
          <w:i/>
        </w:rPr>
        <w:t xml:space="preserve"> for fall recitals; October 1 for spring recitals</w:t>
      </w:r>
      <w:r w:rsidRPr="00F53236">
        <w:rPr>
          <w:b/>
          <w:i/>
        </w:rPr>
        <w:t>)</w:t>
      </w:r>
      <w:r w:rsidRPr="00F53236">
        <w:rPr>
          <w:b/>
        </w:rPr>
        <w:tab/>
      </w:r>
      <w:r w:rsidRPr="00F53236">
        <w:rPr>
          <w:b/>
        </w:rPr>
        <w:tab/>
      </w:r>
    </w:p>
    <w:p w14:paraId="3C4DB065" w14:textId="30315F43" w:rsidR="00621F46" w:rsidRPr="00F53236" w:rsidRDefault="006715CD" w:rsidP="002F68F8">
      <w:pPr>
        <w:pStyle w:val="BodyTextIndent2"/>
        <w:tabs>
          <w:tab w:val="clear" w:pos="600"/>
        </w:tabs>
        <w:ind w:left="0"/>
      </w:pPr>
      <w:r w:rsidRPr="00F53236">
        <w:t>S</w:t>
      </w:r>
      <w:r w:rsidR="00952720" w:rsidRPr="00F53236">
        <w:t xml:space="preserve">tudent </w:t>
      </w:r>
      <w:r w:rsidR="002F68F8" w:rsidRPr="00F53236">
        <w:t xml:space="preserve">music </w:t>
      </w:r>
      <w:r w:rsidR="00952720" w:rsidRPr="00F53236">
        <w:t>organizations</w:t>
      </w:r>
      <w:r w:rsidR="002F68F8" w:rsidRPr="00F53236">
        <w:t xml:space="preserve"> not included in higher priority groups</w:t>
      </w:r>
      <w:r w:rsidRPr="00F53236">
        <w:t>, and the primary, non-revenue generating activities of University units</w:t>
      </w:r>
      <w:r w:rsidR="002F68F8" w:rsidRPr="00F53236">
        <w:t xml:space="preserve">. </w:t>
      </w:r>
    </w:p>
    <w:p w14:paraId="0B74E14B" w14:textId="77777777" w:rsidR="002F68F8" w:rsidRPr="00F53236" w:rsidRDefault="002F68F8" w:rsidP="002F68F8">
      <w:pPr>
        <w:pStyle w:val="BodyTextIndent2"/>
        <w:tabs>
          <w:tab w:val="clear" w:pos="600"/>
        </w:tabs>
        <w:ind w:left="0"/>
      </w:pPr>
    </w:p>
    <w:p w14:paraId="1DF3C27B" w14:textId="77777777" w:rsidR="002F68F8" w:rsidRPr="00F53236" w:rsidRDefault="002F68F8" w:rsidP="002F68F8">
      <w:pPr>
        <w:pStyle w:val="BodyTextIndent2"/>
        <w:tabs>
          <w:tab w:val="clear" w:pos="600"/>
        </w:tabs>
        <w:ind w:left="0"/>
        <w:rPr>
          <w:b/>
        </w:rPr>
      </w:pPr>
      <w:r w:rsidRPr="00F53236">
        <w:rPr>
          <w:b/>
        </w:rPr>
        <w:t>Priority Group VI (April 1</w:t>
      </w:r>
      <w:r w:rsidR="00C06DC3" w:rsidRPr="00F53236">
        <w:rPr>
          <w:b/>
        </w:rPr>
        <w:t>5</w:t>
      </w:r>
      <w:r w:rsidRPr="00F53236">
        <w:rPr>
          <w:b/>
        </w:rPr>
        <w:t xml:space="preserve"> – ongoing</w:t>
      </w:r>
      <w:r w:rsidR="00C06DC3" w:rsidRPr="00F53236">
        <w:rPr>
          <w:b/>
        </w:rPr>
        <w:t xml:space="preserve"> for fall events; October 15 for spring events</w:t>
      </w:r>
      <w:r w:rsidRPr="00F53236">
        <w:rPr>
          <w:b/>
        </w:rPr>
        <w:t>)</w:t>
      </w:r>
    </w:p>
    <w:p w14:paraId="2B78A00F" w14:textId="77777777" w:rsidR="002F68F8" w:rsidRPr="00F53236" w:rsidRDefault="002F68F8" w:rsidP="002F68F8">
      <w:pPr>
        <w:pStyle w:val="BodyTextIndent2"/>
        <w:tabs>
          <w:tab w:val="clear" w:pos="600"/>
        </w:tabs>
        <w:ind w:left="0"/>
      </w:pPr>
      <w:r w:rsidRPr="00F53236">
        <w:t>Any activity not in Priority Groups I – V including university departments, student organizations and non-university groups.</w:t>
      </w:r>
    </w:p>
    <w:p w14:paraId="4DA11BD7" w14:textId="77777777" w:rsidR="002F68F8" w:rsidRPr="00F53236" w:rsidRDefault="002F68F8" w:rsidP="002F68F8">
      <w:pPr>
        <w:pStyle w:val="BodyTextIndent2"/>
        <w:tabs>
          <w:tab w:val="clear" w:pos="600"/>
        </w:tabs>
        <w:ind w:left="0"/>
      </w:pPr>
    </w:p>
    <w:p w14:paraId="38B5F061" w14:textId="77777777" w:rsidR="002F68F8" w:rsidRPr="00F53236" w:rsidRDefault="002F68F8" w:rsidP="002F68F8">
      <w:pPr>
        <w:pStyle w:val="BodyTextIndent2"/>
        <w:tabs>
          <w:tab w:val="clear" w:pos="600"/>
        </w:tabs>
        <w:ind w:left="0"/>
      </w:pPr>
    </w:p>
    <w:p w14:paraId="36D39AF2" w14:textId="77777777" w:rsidR="00A97C89" w:rsidRPr="00F53236" w:rsidRDefault="00A97C89" w:rsidP="002F68F8">
      <w:pPr>
        <w:pStyle w:val="BodyTextIndent2"/>
        <w:tabs>
          <w:tab w:val="clear" w:pos="600"/>
        </w:tabs>
        <w:ind w:left="0"/>
        <w:rPr>
          <w:b/>
        </w:rPr>
      </w:pPr>
      <w:r w:rsidRPr="00F53236">
        <w:rPr>
          <w:b/>
        </w:rPr>
        <w:t>Charges for use of Mason Hall</w:t>
      </w:r>
    </w:p>
    <w:p w14:paraId="6EEC0A5B" w14:textId="77777777" w:rsidR="00A97C89" w:rsidRPr="00F53236" w:rsidRDefault="00A97C89" w:rsidP="002F68F8">
      <w:pPr>
        <w:pStyle w:val="BodyTextIndent2"/>
        <w:tabs>
          <w:tab w:val="clear" w:pos="600"/>
        </w:tabs>
        <w:ind w:left="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1098"/>
        <w:gridCol w:w="1368"/>
        <w:gridCol w:w="1368"/>
        <w:gridCol w:w="1368"/>
        <w:gridCol w:w="1368"/>
        <w:gridCol w:w="1368"/>
      </w:tblGrid>
      <w:tr w:rsidR="00A97C89" w:rsidRPr="00F53236" w14:paraId="1B53A694" w14:textId="77777777" w:rsidTr="002904F6">
        <w:tc>
          <w:tcPr>
            <w:tcW w:w="1638" w:type="dxa"/>
            <w:shd w:val="clear" w:color="auto" w:fill="C0C0C0"/>
          </w:tcPr>
          <w:p w14:paraId="70563A18" w14:textId="77777777" w:rsidR="00A97C89" w:rsidRPr="00F53236" w:rsidRDefault="00A97C89" w:rsidP="002904F6">
            <w:pPr>
              <w:pStyle w:val="BodyTextIndent2"/>
              <w:tabs>
                <w:tab w:val="clear" w:pos="600"/>
              </w:tabs>
              <w:ind w:left="0"/>
              <w:rPr>
                <w:sz w:val="22"/>
              </w:rPr>
            </w:pPr>
          </w:p>
        </w:tc>
        <w:tc>
          <w:tcPr>
            <w:tcW w:w="1098" w:type="dxa"/>
            <w:shd w:val="clear" w:color="auto" w:fill="C0C0C0"/>
          </w:tcPr>
          <w:p w14:paraId="36FFA06F" w14:textId="77777777" w:rsidR="00A97C89" w:rsidRPr="00F53236" w:rsidRDefault="00A97C89" w:rsidP="002904F6">
            <w:pPr>
              <w:pStyle w:val="BodyTextIndent2"/>
              <w:tabs>
                <w:tab w:val="clear" w:pos="600"/>
              </w:tabs>
              <w:ind w:left="0"/>
              <w:jc w:val="center"/>
              <w:rPr>
                <w:sz w:val="22"/>
              </w:rPr>
            </w:pPr>
            <w:r w:rsidRPr="00F53236">
              <w:rPr>
                <w:sz w:val="22"/>
              </w:rPr>
              <w:t>Rent</w:t>
            </w:r>
          </w:p>
        </w:tc>
        <w:tc>
          <w:tcPr>
            <w:tcW w:w="1368" w:type="dxa"/>
            <w:shd w:val="clear" w:color="auto" w:fill="C0C0C0"/>
          </w:tcPr>
          <w:p w14:paraId="07BA8397" w14:textId="77777777" w:rsidR="00A97C89" w:rsidRPr="00F53236" w:rsidRDefault="00A97C89" w:rsidP="002904F6">
            <w:pPr>
              <w:pStyle w:val="BodyTextIndent2"/>
              <w:tabs>
                <w:tab w:val="clear" w:pos="600"/>
              </w:tabs>
              <w:ind w:left="0"/>
              <w:jc w:val="center"/>
              <w:rPr>
                <w:sz w:val="22"/>
              </w:rPr>
            </w:pPr>
            <w:r w:rsidRPr="00F53236">
              <w:rPr>
                <w:sz w:val="22"/>
              </w:rPr>
              <w:t>House Manager</w:t>
            </w:r>
          </w:p>
        </w:tc>
        <w:tc>
          <w:tcPr>
            <w:tcW w:w="1368" w:type="dxa"/>
            <w:shd w:val="clear" w:color="auto" w:fill="C0C0C0"/>
          </w:tcPr>
          <w:p w14:paraId="1956F35A" w14:textId="77777777" w:rsidR="00A97C89" w:rsidRPr="00F53236" w:rsidRDefault="00A97C89" w:rsidP="002904F6">
            <w:pPr>
              <w:pStyle w:val="BodyTextIndent2"/>
              <w:tabs>
                <w:tab w:val="clear" w:pos="600"/>
              </w:tabs>
              <w:ind w:left="0"/>
              <w:jc w:val="center"/>
              <w:rPr>
                <w:sz w:val="22"/>
              </w:rPr>
            </w:pPr>
            <w:r w:rsidRPr="00F53236">
              <w:rPr>
                <w:sz w:val="22"/>
              </w:rPr>
              <w:t>Music Equipment</w:t>
            </w:r>
          </w:p>
        </w:tc>
        <w:tc>
          <w:tcPr>
            <w:tcW w:w="1368" w:type="dxa"/>
            <w:shd w:val="clear" w:color="auto" w:fill="C0C0C0"/>
          </w:tcPr>
          <w:p w14:paraId="37C27FB7" w14:textId="77777777" w:rsidR="00A97C89" w:rsidRPr="00F53236" w:rsidRDefault="00A97C89" w:rsidP="002904F6">
            <w:pPr>
              <w:pStyle w:val="BodyTextIndent2"/>
              <w:tabs>
                <w:tab w:val="clear" w:pos="600"/>
              </w:tabs>
              <w:ind w:left="0"/>
              <w:jc w:val="center"/>
              <w:rPr>
                <w:sz w:val="22"/>
              </w:rPr>
            </w:pPr>
            <w:r w:rsidRPr="00F53236">
              <w:rPr>
                <w:sz w:val="22"/>
              </w:rPr>
              <w:t>Audio Equipment</w:t>
            </w:r>
          </w:p>
        </w:tc>
        <w:tc>
          <w:tcPr>
            <w:tcW w:w="1368" w:type="dxa"/>
            <w:shd w:val="clear" w:color="auto" w:fill="C0C0C0"/>
          </w:tcPr>
          <w:p w14:paraId="3BAA55EA" w14:textId="77777777" w:rsidR="00A97C89" w:rsidRPr="00F53236" w:rsidRDefault="00A97C89" w:rsidP="002904F6">
            <w:pPr>
              <w:pStyle w:val="BodyTextIndent2"/>
              <w:tabs>
                <w:tab w:val="clear" w:pos="600"/>
              </w:tabs>
              <w:ind w:left="0"/>
              <w:jc w:val="center"/>
              <w:rPr>
                <w:sz w:val="22"/>
              </w:rPr>
            </w:pPr>
            <w:r w:rsidRPr="00F53236">
              <w:rPr>
                <w:sz w:val="22"/>
              </w:rPr>
              <w:t>Visual Equipment</w:t>
            </w:r>
          </w:p>
        </w:tc>
        <w:tc>
          <w:tcPr>
            <w:tcW w:w="1368" w:type="dxa"/>
            <w:shd w:val="clear" w:color="auto" w:fill="C0C0C0"/>
          </w:tcPr>
          <w:p w14:paraId="10AEC1F6" w14:textId="77777777" w:rsidR="00A97C89" w:rsidRPr="00F53236" w:rsidRDefault="00A97C89" w:rsidP="002904F6">
            <w:pPr>
              <w:pStyle w:val="BodyTextIndent2"/>
              <w:tabs>
                <w:tab w:val="clear" w:pos="600"/>
              </w:tabs>
              <w:ind w:left="0"/>
              <w:jc w:val="center"/>
              <w:rPr>
                <w:sz w:val="22"/>
              </w:rPr>
            </w:pPr>
            <w:r w:rsidRPr="00F53236">
              <w:rPr>
                <w:sz w:val="22"/>
              </w:rPr>
              <w:t>Rosch/</w:t>
            </w:r>
            <w:proofErr w:type="spellStart"/>
            <w:r w:rsidRPr="00F53236">
              <w:rPr>
                <w:sz w:val="22"/>
              </w:rPr>
              <w:t>Diers</w:t>
            </w:r>
            <w:proofErr w:type="spellEnd"/>
          </w:p>
        </w:tc>
      </w:tr>
      <w:tr w:rsidR="00A97C89" w:rsidRPr="00F53236" w14:paraId="0384B0C6" w14:textId="77777777" w:rsidTr="002904F6">
        <w:tc>
          <w:tcPr>
            <w:tcW w:w="1638" w:type="dxa"/>
            <w:shd w:val="clear" w:color="auto" w:fill="C0C0C0"/>
          </w:tcPr>
          <w:p w14:paraId="732A35AF" w14:textId="77777777" w:rsidR="00A97C89" w:rsidRPr="00F53236" w:rsidRDefault="008D796E" w:rsidP="002904F6">
            <w:pPr>
              <w:pStyle w:val="BodyTextIndent2"/>
              <w:tabs>
                <w:tab w:val="clear" w:pos="600"/>
              </w:tabs>
              <w:ind w:left="0"/>
              <w:rPr>
                <w:b/>
                <w:sz w:val="22"/>
              </w:rPr>
            </w:pPr>
            <w:r w:rsidRPr="00F53236">
              <w:rPr>
                <w:b/>
                <w:sz w:val="22"/>
              </w:rPr>
              <w:t>Group I, II, III</w:t>
            </w:r>
            <w:r w:rsidR="007B6B9E" w:rsidRPr="00F53236">
              <w:rPr>
                <w:b/>
                <w:sz w:val="22"/>
              </w:rPr>
              <w:t>, IV</w:t>
            </w:r>
            <w:r w:rsidR="00C06DC3" w:rsidRPr="00F53236">
              <w:rPr>
                <w:b/>
                <w:sz w:val="22"/>
              </w:rPr>
              <w:t>, IV-A</w:t>
            </w:r>
          </w:p>
        </w:tc>
        <w:tc>
          <w:tcPr>
            <w:tcW w:w="1098" w:type="dxa"/>
            <w:shd w:val="clear" w:color="auto" w:fill="auto"/>
          </w:tcPr>
          <w:p w14:paraId="355A6413" w14:textId="77777777" w:rsidR="00A97C89" w:rsidRPr="00F53236" w:rsidRDefault="008D796E" w:rsidP="002904F6">
            <w:pPr>
              <w:pStyle w:val="BodyTextIndent2"/>
              <w:tabs>
                <w:tab w:val="clear" w:pos="600"/>
              </w:tabs>
              <w:ind w:left="0"/>
              <w:jc w:val="center"/>
              <w:rPr>
                <w:sz w:val="22"/>
              </w:rPr>
            </w:pPr>
            <w:r w:rsidRPr="00F53236">
              <w:rPr>
                <w:sz w:val="22"/>
              </w:rPr>
              <w:t>N/C</w:t>
            </w:r>
          </w:p>
        </w:tc>
        <w:tc>
          <w:tcPr>
            <w:tcW w:w="1368" w:type="dxa"/>
            <w:shd w:val="clear" w:color="auto" w:fill="auto"/>
          </w:tcPr>
          <w:p w14:paraId="67BDFD26" w14:textId="77777777" w:rsidR="00A97C89" w:rsidRPr="00F53236" w:rsidRDefault="008D796E" w:rsidP="002904F6">
            <w:pPr>
              <w:pStyle w:val="BodyTextIndent2"/>
              <w:tabs>
                <w:tab w:val="clear" w:pos="600"/>
              </w:tabs>
              <w:ind w:left="0"/>
              <w:jc w:val="center"/>
              <w:rPr>
                <w:sz w:val="22"/>
              </w:rPr>
            </w:pPr>
            <w:r w:rsidRPr="00F53236">
              <w:rPr>
                <w:sz w:val="22"/>
              </w:rPr>
              <w:t>N/C</w:t>
            </w:r>
          </w:p>
        </w:tc>
        <w:tc>
          <w:tcPr>
            <w:tcW w:w="1368" w:type="dxa"/>
            <w:shd w:val="clear" w:color="auto" w:fill="auto"/>
          </w:tcPr>
          <w:p w14:paraId="7EA5893F" w14:textId="77777777" w:rsidR="00A97C89" w:rsidRPr="00F53236" w:rsidRDefault="008D796E" w:rsidP="002904F6">
            <w:pPr>
              <w:pStyle w:val="BodyTextIndent2"/>
              <w:tabs>
                <w:tab w:val="clear" w:pos="600"/>
              </w:tabs>
              <w:ind w:left="0"/>
              <w:jc w:val="center"/>
              <w:rPr>
                <w:sz w:val="22"/>
              </w:rPr>
            </w:pPr>
            <w:r w:rsidRPr="00F53236">
              <w:rPr>
                <w:sz w:val="22"/>
              </w:rPr>
              <w:t>N/C</w:t>
            </w:r>
          </w:p>
        </w:tc>
        <w:tc>
          <w:tcPr>
            <w:tcW w:w="1368" w:type="dxa"/>
            <w:shd w:val="clear" w:color="auto" w:fill="auto"/>
          </w:tcPr>
          <w:p w14:paraId="2F8F2C0D" w14:textId="77777777" w:rsidR="00A97C89" w:rsidRPr="00F53236" w:rsidRDefault="008D796E" w:rsidP="002904F6">
            <w:pPr>
              <w:pStyle w:val="BodyTextIndent2"/>
              <w:tabs>
                <w:tab w:val="clear" w:pos="600"/>
              </w:tabs>
              <w:ind w:left="0"/>
              <w:jc w:val="center"/>
              <w:rPr>
                <w:sz w:val="22"/>
              </w:rPr>
            </w:pPr>
            <w:r w:rsidRPr="00F53236">
              <w:rPr>
                <w:sz w:val="22"/>
              </w:rPr>
              <w:t>N/C</w:t>
            </w:r>
          </w:p>
        </w:tc>
        <w:tc>
          <w:tcPr>
            <w:tcW w:w="1368" w:type="dxa"/>
            <w:shd w:val="clear" w:color="auto" w:fill="auto"/>
          </w:tcPr>
          <w:p w14:paraId="2299B36F" w14:textId="77777777" w:rsidR="00A97C89" w:rsidRPr="00F53236" w:rsidRDefault="008D796E" w:rsidP="002904F6">
            <w:pPr>
              <w:pStyle w:val="BodyTextIndent2"/>
              <w:tabs>
                <w:tab w:val="clear" w:pos="600"/>
              </w:tabs>
              <w:ind w:left="0"/>
              <w:jc w:val="center"/>
              <w:rPr>
                <w:sz w:val="22"/>
              </w:rPr>
            </w:pPr>
            <w:r w:rsidRPr="00F53236">
              <w:rPr>
                <w:sz w:val="22"/>
              </w:rPr>
              <w:t>N/C</w:t>
            </w:r>
          </w:p>
        </w:tc>
        <w:tc>
          <w:tcPr>
            <w:tcW w:w="1368" w:type="dxa"/>
            <w:shd w:val="clear" w:color="auto" w:fill="auto"/>
          </w:tcPr>
          <w:p w14:paraId="7D857273" w14:textId="77777777" w:rsidR="00A97C89" w:rsidRPr="00F53236" w:rsidRDefault="008D796E" w:rsidP="002904F6">
            <w:pPr>
              <w:pStyle w:val="BodyTextIndent2"/>
              <w:tabs>
                <w:tab w:val="clear" w:pos="600"/>
              </w:tabs>
              <w:ind w:left="0"/>
              <w:jc w:val="center"/>
              <w:rPr>
                <w:sz w:val="22"/>
              </w:rPr>
            </w:pPr>
            <w:r w:rsidRPr="00F53236">
              <w:rPr>
                <w:sz w:val="22"/>
              </w:rPr>
              <w:t>R or D</w:t>
            </w:r>
          </w:p>
        </w:tc>
      </w:tr>
      <w:tr w:rsidR="008D796E" w:rsidRPr="00F53236" w14:paraId="2916DF18" w14:textId="77777777" w:rsidTr="002904F6">
        <w:tc>
          <w:tcPr>
            <w:tcW w:w="1638" w:type="dxa"/>
            <w:shd w:val="clear" w:color="auto" w:fill="C0C0C0"/>
          </w:tcPr>
          <w:p w14:paraId="147E4D4F" w14:textId="77777777" w:rsidR="008D796E" w:rsidRPr="00F53236" w:rsidRDefault="008D796E" w:rsidP="002904F6">
            <w:pPr>
              <w:pStyle w:val="BodyTextIndent2"/>
              <w:tabs>
                <w:tab w:val="clear" w:pos="600"/>
              </w:tabs>
              <w:ind w:left="0"/>
              <w:rPr>
                <w:b/>
                <w:sz w:val="22"/>
              </w:rPr>
            </w:pPr>
            <w:r w:rsidRPr="00F53236">
              <w:rPr>
                <w:b/>
                <w:sz w:val="22"/>
              </w:rPr>
              <w:t>Group V</w:t>
            </w:r>
          </w:p>
        </w:tc>
        <w:tc>
          <w:tcPr>
            <w:tcW w:w="1098" w:type="dxa"/>
            <w:shd w:val="clear" w:color="auto" w:fill="auto"/>
          </w:tcPr>
          <w:p w14:paraId="4C689E13" w14:textId="77777777" w:rsidR="008D796E" w:rsidRPr="00F53236" w:rsidRDefault="008D796E" w:rsidP="002904F6">
            <w:pPr>
              <w:pStyle w:val="BodyTextIndent2"/>
              <w:tabs>
                <w:tab w:val="clear" w:pos="600"/>
              </w:tabs>
              <w:ind w:left="0"/>
              <w:jc w:val="center"/>
              <w:rPr>
                <w:sz w:val="22"/>
              </w:rPr>
            </w:pPr>
          </w:p>
        </w:tc>
        <w:tc>
          <w:tcPr>
            <w:tcW w:w="1368" w:type="dxa"/>
            <w:shd w:val="clear" w:color="auto" w:fill="auto"/>
          </w:tcPr>
          <w:p w14:paraId="64851897" w14:textId="77777777" w:rsidR="008D796E" w:rsidRPr="00F53236" w:rsidRDefault="008D796E" w:rsidP="002904F6">
            <w:pPr>
              <w:pStyle w:val="BodyTextIndent2"/>
              <w:tabs>
                <w:tab w:val="clear" w:pos="600"/>
              </w:tabs>
              <w:ind w:left="0"/>
              <w:jc w:val="center"/>
              <w:rPr>
                <w:sz w:val="22"/>
              </w:rPr>
            </w:pPr>
          </w:p>
        </w:tc>
        <w:tc>
          <w:tcPr>
            <w:tcW w:w="1368" w:type="dxa"/>
            <w:shd w:val="clear" w:color="auto" w:fill="auto"/>
          </w:tcPr>
          <w:p w14:paraId="610D42F4" w14:textId="77777777" w:rsidR="008D796E" w:rsidRPr="00F53236" w:rsidRDefault="008D796E" w:rsidP="002904F6">
            <w:pPr>
              <w:pStyle w:val="BodyTextIndent2"/>
              <w:tabs>
                <w:tab w:val="clear" w:pos="600"/>
              </w:tabs>
              <w:ind w:left="0"/>
              <w:jc w:val="center"/>
              <w:rPr>
                <w:sz w:val="22"/>
              </w:rPr>
            </w:pPr>
          </w:p>
        </w:tc>
        <w:tc>
          <w:tcPr>
            <w:tcW w:w="1368" w:type="dxa"/>
            <w:shd w:val="clear" w:color="auto" w:fill="auto"/>
          </w:tcPr>
          <w:p w14:paraId="54CE6C45" w14:textId="77777777" w:rsidR="008D796E" w:rsidRPr="00F53236" w:rsidRDefault="008D796E" w:rsidP="002904F6">
            <w:pPr>
              <w:pStyle w:val="BodyTextIndent2"/>
              <w:tabs>
                <w:tab w:val="clear" w:pos="600"/>
              </w:tabs>
              <w:ind w:left="0"/>
              <w:jc w:val="center"/>
              <w:rPr>
                <w:sz w:val="22"/>
              </w:rPr>
            </w:pPr>
          </w:p>
        </w:tc>
        <w:tc>
          <w:tcPr>
            <w:tcW w:w="1368" w:type="dxa"/>
            <w:shd w:val="clear" w:color="auto" w:fill="auto"/>
          </w:tcPr>
          <w:p w14:paraId="0E1C86E9" w14:textId="77777777" w:rsidR="008D796E" w:rsidRPr="00F53236" w:rsidRDefault="008D796E" w:rsidP="002904F6">
            <w:pPr>
              <w:pStyle w:val="BodyTextIndent2"/>
              <w:tabs>
                <w:tab w:val="clear" w:pos="600"/>
              </w:tabs>
              <w:ind w:left="0"/>
              <w:jc w:val="center"/>
              <w:rPr>
                <w:sz w:val="22"/>
              </w:rPr>
            </w:pPr>
          </w:p>
        </w:tc>
        <w:tc>
          <w:tcPr>
            <w:tcW w:w="1368" w:type="dxa"/>
            <w:shd w:val="clear" w:color="auto" w:fill="auto"/>
          </w:tcPr>
          <w:p w14:paraId="77704513" w14:textId="77777777" w:rsidR="008D796E" w:rsidRPr="00F53236" w:rsidRDefault="008D796E" w:rsidP="002904F6">
            <w:pPr>
              <w:pStyle w:val="BodyTextIndent2"/>
              <w:tabs>
                <w:tab w:val="clear" w:pos="600"/>
              </w:tabs>
              <w:ind w:left="0"/>
              <w:jc w:val="center"/>
              <w:rPr>
                <w:sz w:val="22"/>
              </w:rPr>
            </w:pPr>
          </w:p>
        </w:tc>
      </w:tr>
      <w:tr w:rsidR="008D796E" w:rsidRPr="00F53236" w14:paraId="451BA2B3" w14:textId="77777777" w:rsidTr="002904F6">
        <w:tc>
          <w:tcPr>
            <w:tcW w:w="1638" w:type="dxa"/>
            <w:shd w:val="clear" w:color="auto" w:fill="C0C0C0"/>
          </w:tcPr>
          <w:p w14:paraId="6D79527D" w14:textId="77777777" w:rsidR="008D796E" w:rsidRPr="00F53236" w:rsidRDefault="008D796E" w:rsidP="002904F6">
            <w:pPr>
              <w:pStyle w:val="BodyTextIndent2"/>
              <w:tabs>
                <w:tab w:val="clear" w:pos="600"/>
              </w:tabs>
              <w:ind w:left="180"/>
              <w:rPr>
                <w:sz w:val="22"/>
              </w:rPr>
            </w:pPr>
            <w:r w:rsidRPr="00F53236">
              <w:rPr>
                <w:sz w:val="22"/>
              </w:rPr>
              <w:t>Ensemble-in-Residence</w:t>
            </w:r>
          </w:p>
        </w:tc>
        <w:tc>
          <w:tcPr>
            <w:tcW w:w="1098" w:type="dxa"/>
            <w:shd w:val="clear" w:color="auto" w:fill="auto"/>
          </w:tcPr>
          <w:p w14:paraId="625E7D25" w14:textId="77777777" w:rsidR="008D796E" w:rsidRPr="00F53236" w:rsidRDefault="008D796E" w:rsidP="002904F6">
            <w:pPr>
              <w:pStyle w:val="BodyTextIndent2"/>
              <w:tabs>
                <w:tab w:val="clear" w:pos="600"/>
              </w:tabs>
              <w:ind w:left="0"/>
              <w:jc w:val="center"/>
              <w:rPr>
                <w:sz w:val="22"/>
              </w:rPr>
            </w:pPr>
            <w:r w:rsidRPr="00F53236">
              <w:rPr>
                <w:sz w:val="22"/>
              </w:rPr>
              <w:t>N/C</w:t>
            </w:r>
          </w:p>
        </w:tc>
        <w:tc>
          <w:tcPr>
            <w:tcW w:w="1368" w:type="dxa"/>
            <w:shd w:val="clear" w:color="auto" w:fill="auto"/>
          </w:tcPr>
          <w:p w14:paraId="5DF3D878" w14:textId="77777777" w:rsidR="008D796E" w:rsidRPr="00F53236" w:rsidRDefault="008D796E" w:rsidP="002904F6">
            <w:pPr>
              <w:pStyle w:val="BodyTextIndent2"/>
              <w:tabs>
                <w:tab w:val="clear" w:pos="600"/>
              </w:tabs>
              <w:ind w:left="0"/>
              <w:jc w:val="center"/>
              <w:rPr>
                <w:sz w:val="22"/>
              </w:rPr>
            </w:pPr>
            <w:r w:rsidRPr="00F53236">
              <w:rPr>
                <w:sz w:val="22"/>
              </w:rPr>
              <w:t>$</w:t>
            </w:r>
          </w:p>
        </w:tc>
        <w:tc>
          <w:tcPr>
            <w:tcW w:w="1368" w:type="dxa"/>
            <w:shd w:val="clear" w:color="auto" w:fill="auto"/>
          </w:tcPr>
          <w:p w14:paraId="6EC4603D" w14:textId="77777777" w:rsidR="008D796E" w:rsidRPr="00F53236" w:rsidRDefault="008D796E" w:rsidP="002904F6">
            <w:pPr>
              <w:pStyle w:val="BodyTextIndent2"/>
              <w:tabs>
                <w:tab w:val="clear" w:pos="600"/>
              </w:tabs>
              <w:ind w:left="0"/>
              <w:jc w:val="center"/>
              <w:rPr>
                <w:sz w:val="22"/>
              </w:rPr>
            </w:pPr>
            <w:r w:rsidRPr="00F53236">
              <w:rPr>
                <w:sz w:val="22"/>
              </w:rPr>
              <w:t>N/C</w:t>
            </w:r>
          </w:p>
        </w:tc>
        <w:tc>
          <w:tcPr>
            <w:tcW w:w="1368" w:type="dxa"/>
            <w:shd w:val="clear" w:color="auto" w:fill="auto"/>
          </w:tcPr>
          <w:p w14:paraId="7EACEC88" w14:textId="77777777" w:rsidR="008D796E" w:rsidRPr="00F53236" w:rsidRDefault="008D796E" w:rsidP="002904F6">
            <w:pPr>
              <w:pStyle w:val="BodyTextIndent2"/>
              <w:tabs>
                <w:tab w:val="clear" w:pos="600"/>
              </w:tabs>
              <w:ind w:left="0"/>
              <w:jc w:val="center"/>
              <w:rPr>
                <w:sz w:val="22"/>
              </w:rPr>
            </w:pPr>
            <w:r w:rsidRPr="00F53236">
              <w:rPr>
                <w:sz w:val="22"/>
              </w:rPr>
              <w:t>$</w:t>
            </w:r>
          </w:p>
        </w:tc>
        <w:tc>
          <w:tcPr>
            <w:tcW w:w="1368" w:type="dxa"/>
            <w:shd w:val="clear" w:color="auto" w:fill="auto"/>
          </w:tcPr>
          <w:p w14:paraId="4AFB1EA8" w14:textId="77777777" w:rsidR="008D796E" w:rsidRPr="00F53236" w:rsidRDefault="008D796E" w:rsidP="002904F6">
            <w:pPr>
              <w:pStyle w:val="BodyTextIndent2"/>
              <w:tabs>
                <w:tab w:val="clear" w:pos="600"/>
              </w:tabs>
              <w:ind w:left="0"/>
              <w:jc w:val="center"/>
              <w:rPr>
                <w:sz w:val="22"/>
              </w:rPr>
            </w:pPr>
            <w:r w:rsidRPr="00F53236">
              <w:rPr>
                <w:sz w:val="22"/>
              </w:rPr>
              <w:t>$</w:t>
            </w:r>
          </w:p>
        </w:tc>
        <w:tc>
          <w:tcPr>
            <w:tcW w:w="1368" w:type="dxa"/>
            <w:shd w:val="clear" w:color="auto" w:fill="auto"/>
          </w:tcPr>
          <w:p w14:paraId="1ED3F99C" w14:textId="77777777" w:rsidR="008D796E" w:rsidRPr="00F53236" w:rsidRDefault="008D796E" w:rsidP="002904F6">
            <w:pPr>
              <w:pStyle w:val="BodyTextIndent2"/>
              <w:tabs>
                <w:tab w:val="clear" w:pos="600"/>
              </w:tabs>
              <w:ind w:left="0"/>
              <w:jc w:val="center"/>
              <w:rPr>
                <w:sz w:val="22"/>
              </w:rPr>
            </w:pPr>
            <w:r w:rsidRPr="00F53236">
              <w:rPr>
                <w:sz w:val="22"/>
              </w:rPr>
              <w:t>R or D</w:t>
            </w:r>
          </w:p>
        </w:tc>
      </w:tr>
      <w:tr w:rsidR="008D796E" w:rsidRPr="00F53236" w14:paraId="5C082E62" w14:textId="77777777" w:rsidTr="002904F6">
        <w:tc>
          <w:tcPr>
            <w:tcW w:w="1638" w:type="dxa"/>
            <w:shd w:val="clear" w:color="auto" w:fill="C0C0C0"/>
          </w:tcPr>
          <w:p w14:paraId="503D7C60" w14:textId="77777777" w:rsidR="008D796E" w:rsidRPr="00F53236" w:rsidRDefault="008D796E" w:rsidP="002904F6">
            <w:pPr>
              <w:pStyle w:val="BodyTextIndent2"/>
              <w:tabs>
                <w:tab w:val="clear" w:pos="600"/>
              </w:tabs>
              <w:ind w:left="180"/>
              <w:rPr>
                <w:sz w:val="22"/>
              </w:rPr>
            </w:pPr>
            <w:r w:rsidRPr="00F53236">
              <w:rPr>
                <w:sz w:val="22"/>
              </w:rPr>
              <w:t>Student Org – Music</w:t>
            </w:r>
          </w:p>
        </w:tc>
        <w:tc>
          <w:tcPr>
            <w:tcW w:w="1098" w:type="dxa"/>
            <w:shd w:val="clear" w:color="auto" w:fill="auto"/>
          </w:tcPr>
          <w:p w14:paraId="61D9566D" w14:textId="77777777" w:rsidR="008D796E" w:rsidRPr="00F53236" w:rsidRDefault="007B6B9E" w:rsidP="007B6B9E">
            <w:pPr>
              <w:pStyle w:val="BodyTextIndent2"/>
              <w:tabs>
                <w:tab w:val="clear" w:pos="600"/>
              </w:tabs>
              <w:ind w:left="0"/>
              <w:jc w:val="center"/>
              <w:rPr>
                <w:sz w:val="22"/>
              </w:rPr>
            </w:pPr>
            <w:r w:rsidRPr="00F53236">
              <w:rPr>
                <w:sz w:val="22"/>
              </w:rPr>
              <w:t>N/C</w:t>
            </w:r>
          </w:p>
        </w:tc>
        <w:tc>
          <w:tcPr>
            <w:tcW w:w="1368" w:type="dxa"/>
            <w:shd w:val="clear" w:color="auto" w:fill="auto"/>
          </w:tcPr>
          <w:p w14:paraId="69D56E7C" w14:textId="77777777" w:rsidR="008D796E" w:rsidRPr="00F53236" w:rsidRDefault="008D796E" w:rsidP="002904F6">
            <w:pPr>
              <w:pStyle w:val="BodyTextIndent2"/>
              <w:tabs>
                <w:tab w:val="clear" w:pos="600"/>
              </w:tabs>
              <w:ind w:left="0"/>
              <w:jc w:val="center"/>
              <w:rPr>
                <w:sz w:val="22"/>
              </w:rPr>
            </w:pPr>
            <w:r w:rsidRPr="00F53236">
              <w:rPr>
                <w:sz w:val="22"/>
              </w:rPr>
              <w:t>N/C</w:t>
            </w:r>
          </w:p>
        </w:tc>
        <w:tc>
          <w:tcPr>
            <w:tcW w:w="1368" w:type="dxa"/>
            <w:shd w:val="clear" w:color="auto" w:fill="auto"/>
          </w:tcPr>
          <w:p w14:paraId="3BFC718D" w14:textId="77777777" w:rsidR="008D796E" w:rsidRPr="00F53236" w:rsidRDefault="008D796E" w:rsidP="002904F6">
            <w:pPr>
              <w:pStyle w:val="BodyTextIndent2"/>
              <w:tabs>
                <w:tab w:val="clear" w:pos="600"/>
              </w:tabs>
              <w:ind w:left="0"/>
              <w:jc w:val="center"/>
              <w:rPr>
                <w:sz w:val="22"/>
              </w:rPr>
            </w:pPr>
            <w:r w:rsidRPr="00F53236">
              <w:rPr>
                <w:sz w:val="22"/>
              </w:rPr>
              <w:t>N/C</w:t>
            </w:r>
          </w:p>
        </w:tc>
        <w:tc>
          <w:tcPr>
            <w:tcW w:w="1368" w:type="dxa"/>
            <w:shd w:val="clear" w:color="auto" w:fill="auto"/>
          </w:tcPr>
          <w:p w14:paraId="5E9CF447" w14:textId="77777777" w:rsidR="008D796E" w:rsidRPr="00F53236" w:rsidRDefault="008D796E" w:rsidP="002904F6">
            <w:pPr>
              <w:pStyle w:val="BodyTextIndent2"/>
              <w:tabs>
                <w:tab w:val="clear" w:pos="600"/>
              </w:tabs>
              <w:ind w:left="0"/>
              <w:jc w:val="center"/>
              <w:rPr>
                <w:sz w:val="22"/>
              </w:rPr>
            </w:pPr>
            <w:r w:rsidRPr="00F53236">
              <w:rPr>
                <w:sz w:val="22"/>
              </w:rPr>
              <w:t>N/C</w:t>
            </w:r>
          </w:p>
        </w:tc>
        <w:tc>
          <w:tcPr>
            <w:tcW w:w="1368" w:type="dxa"/>
            <w:shd w:val="clear" w:color="auto" w:fill="auto"/>
          </w:tcPr>
          <w:p w14:paraId="465441A0" w14:textId="77777777" w:rsidR="008D796E" w:rsidRPr="00F53236" w:rsidRDefault="008D796E" w:rsidP="002904F6">
            <w:pPr>
              <w:pStyle w:val="BodyTextIndent2"/>
              <w:tabs>
                <w:tab w:val="clear" w:pos="600"/>
              </w:tabs>
              <w:ind w:left="0"/>
              <w:jc w:val="center"/>
              <w:rPr>
                <w:sz w:val="22"/>
              </w:rPr>
            </w:pPr>
            <w:r w:rsidRPr="00F53236">
              <w:rPr>
                <w:sz w:val="22"/>
              </w:rPr>
              <w:t>$</w:t>
            </w:r>
          </w:p>
        </w:tc>
        <w:tc>
          <w:tcPr>
            <w:tcW w:w="1368" w:type="dxa"/>
            <w:shd w:val="clear" w:color="auto" w:fill="auto"/>
          </w:tcPr>
          <w:p w14:paraId="29667E4E" w14:textId="77777777" w:rsidR="008D796E" w:rsidRPr="00F53236" w:rsidRDefault="008D796E" w:rsidP="002904F6">
            <w:pPr>
              <w:pStyle w:val="BodyTextIndent2"/>
              <w:tabs>
                <w:tab w:val="clear" w:pos="600"/>
              </w:tabs>
              <w:ind w:left="0"/>
              <w:jc w:val="center"/>
              <w:rPr>
                <w:sz w:val="22"/>
              </w:rPr>
            </w:pPr>
            <w:proofErr w:type="spellStart"/>
            <w:r w:rsidRPr="00F53236">
              <w:rPr>
                <w:sz w:val="22"/>
              </w:rPr>
              <w:t>Diers</w:t>
            </w:r>
            <w:proofErr w:type="spellEnd"/>
            <w:r w:rsidRPr="00F53236">
              <w:rPr>
                <w:sz w:val="22"/>
              </w:rPr>
              <w:t xml:space="preserve"> </w:t>
            </w:r>
            <w:r w:rsidRPr="00F53236">
              <w:rPr>
                <w:sz w:val="22"/>
                <w:szCs w:val="22"/>
                <w:vertAlign w:val="superscript"/>
              </w:rPr>
              <w:t>1, 2</w:t>
            </w:r>
          </w:p>
        </w:tc>
      </w:tr>
      <w:tr w:rsidR="008D796E" w:rsidRPr="00F53236" w14:paraId="78584E56" w14:textId="77777777" w:rsidTr="002904F6">
        <w:tc>
          <w:tcPr>
            <w:tcW w:w="1638" w:type="dxa"/>
            <w:shd w:val="clear" w:color="auto" w:fill="C0C0C0"/>
          </w:tcPr>
          <w:p w14:paraId="40E83A59" w14:textId="77777777" w:rsidR="008D796E" w:rsidRPr="00F53236" w:rsidRDefault="008D796E" w:rsidP="002904F6">
            <w:pPr>
              <w:pStyle w:val="BodyTextIndent2"/>
              <w:tabs>
                <w:tab w:val="clear" w:pos="600"/>
              </w:tabs>
              <w:ind w:left="0"/>
              <w:rPr>
                <w:b/>
                <w:sz w:val="22"/>
              </w:rPr>
            </w:pPr>
            <w:r w:rsidRPr="00F53236">
              <w:rPr>
                <w:b/>
                <w:sz w:val="22"/>
              </w:rPr>
              <w:t>Group VI</w:t>
            </w:r>
          </w:p>
        </w:tc>
        <w:tc>
          <w:tcPr>
            <w:tcW w:w="1098" w:type="dxa"/>
            <w:shd w:val="clear" w:color="auto" w:fill="auto"/>
          </w:tcPr>
          <w:p w14:paraId="28132C85" w14:textId="77777777" w:rsidR="008D796E" w:rsidRPr="00F53236" w:rsidRDefault="008D796E" w:rsidP="002904F6">
            <w:pPr>
              <w:pStyle w:val="BodyTextIndent2"/>
              <w:tabs>
                <w:tab w:val="clear" w:pos="600"/>
              </w:tabs>
              <w:ind w:left="0"/>
              <w:jc w:val="center"/>
              <w:rPr>
                <w:sz w:val="22"/>
              </w:rPr>
            </w:pPr>
          </w:p>
        </w:tc>
        <w:tc>
          <w:tcPr>
            <w:tcW w:w="1368" w:type="dxa"/>
            <w:shd w:val="clear" w:color="auto" w:fill="auto"/>
          </w:tcPr>
          <w:p w14:paraId="029FA909" w14:textId="77777777" w:rsidR="008D796E" w:rsidRPr="00F53236" w:rsidRDefault="008D796E" w:rsidP="002904F6">
            <w:pPr>
              <w:pStyle w:val="BodyTextIndent2"/>
              <w:tabs>
                <w:tab w:val="clear" w:pos="600"/>
              </w:tabs>
              <w:ind w:left="0"/>
              <w:jc w:val="center"/>
              <w:rPr>
                <w:sz w:val="22"/>
              </w:rPr>
            </w:pPr>
          </w:p>
        </w:tc>
        <w:tc>
          <w:tcPr>
            <w:tcW w:w="1368" w:type="dxa"/>
            <w:shd w:val="clear" w:color="auto" w:fill="auto"/>
          </w:tcPr>
          <w:p w14:paraId="42247305" w14:textId="77777777" w:rsidR="008D796E" w:rsidRPr="00F53236" w:rsidRDefault="008D796E" w:rsidP="002904F6">
            <w:pPr>
              <w:pStyle w:val="BodyTextIndent2"/>
              <w:tabs>
                <w:tab w:val="clear" w:pos="600"/>
              </w:tabs>
              <w:ind w:left="0"/>
              <w:jc w:val="center"/>
              <w:rPr>
                <w:sz w:val="22"/>
              </w:rPr>
            </w:pPr>
          </w:p>
        </w:tc>
        <w:tc>
          <w:tcPr>
            <w:tcW w:w="1368" w:type="dxa"/>
            <w:shd w:val="clear" w:color="auto" w:fill="auto"/>
          </w:tcPr>
          <w:p w14:paraId="0B5D5BDE" w14:textId="77777777" w:rsidR="008D796E" w:rsidRPr="00F53236" w:rsidRDefault="008D796E" w:rsidP="002904F6">
            <w:pPr>
              <w:pStyle w:val="BodyTextIndent2"/>
              <w:tabs>
                <w:tab w:val="clear" w:pos="600"/>
              </w:tabs>
              <w:ind w:left="0"/>
              <w:jc w:val="center"/>
              <w:rPr>
                <w:sz w:val="22"/>
              </w:rPr>
            </w:pPr>
          </w:p>
        </w:tc>
        <w:tc>
          <w:tcPr>
            <w:tcW w:w="1368" w:type="dxa"/>
            <w:shd w:val="clear" w:color="auto" w:fill="auto"/>
          </w:tcPr>
          <w:p w14:paraId="1799FDFC" w14:textId="77777777" w:rsidR="008D796E" w:rsidRPr="00F53236" w:rsidRDefault="008D796E" w:rsidP="002904F6">
            <w:pPr>
              <w:pStyle w:val="BodyTextIndent2"/>
              <w:tabs>
                <w:tab w:val="clear" w:pos="600"/>
              </w:tabs>
              <w:ind w:left="0"/>
              <w:jc w:val="center"/>
              <w:rPr>
                <w:sz w:val="22"/>
              </w:rPr>
            </w:pPr>
          </w:p>
        </w:tc>
        <w:tc>
          <w:tcPr>
            <w:tcW w:w="1368" w:type="dxa"/>
            <w:shd w:val="clear" w:color="auto" w:fill="auto"/>
          </w:tcPr>
          <w:p w14:paraId="09B17814" w14:textId="77777777" w:rsidR="008D796E" w:rsidRPr="00F53236" w:rsidRDefault="008D796E" w:rsidP="002904F6">
            <w:pPr>
              <w:pStyle w:val="BodyTextIndent2"/>
              <w:tabs>
                <w:tab w:val="clear" w:pos="600"/>
              </w:tabs>
              <w:ind w:left="0"/>
              <w:jc w:val="center"/>
              <w:rPr>
                <w:sz w:val="22"/>
              </w:rPr>
            </w:pPr>
          </w:p>
        </w:tc>
      </w:tr>
      <w:tr w:rsidR="008D796E" w:rsidRPr="00F53236" w14:paraId="6AAAEF6D" w14:textId="77777777" w:rsidTr="002904F6">
        <w:tc>
          <w:tcPr>
            <w:tcW w:w="1638" w:type="dxa"/>
            <w:shd w:val="clear" w:color="auto" w:fill="C0C0C0"/>
          </w:tcPr>
          <w:p w14:paraId="6EC2267C" w14:textId="77777777" w:rsidR="008D796E" w:rsidRPr="00F53236" w:rsidRDefault="008D796E" w:rsidP="002904F6">
            <w:pPr>
              <w:pStyle w:val="BodyTextIndent2"/>
              <w:tabs>
                <w:tab w:val="clear" w:pos="600"/>
              </w:tabs>
              <w:ind w:left="180"/>
              <w:rPr>
                <w:sz w:val="22"/>
              </w:rPr>
            </w:pPr>
            <w:proofErr w:type="spellStart"/>
            <w:r w:rsidRPr="00F53236">
              <w:rPr>
                <w:sz w:val="22"/>
              </w:rPr>
              <w:t>Univ</w:t>
            </w:r>
            <w:proofErr w:type="spellEnd"/>
            <w:r w:rsidRPr="00F53236">
              <w:rPr>
                <w:sz w:val="22"/>
              </w:rPr>
              <w:t xml:space="preserve"> Dep’t</w:t>
            </w:r>
          </w:p>
        </w:tc>
        <w:tc>
          <w:tcPr>
            <w:tcW w:w="1098" w:type="dxa"/>
            <w:shd w:val="clear" w:color="auto" w:fill="auto"/>
          </w:tcPr>
          <w:p w14:paraId="294B5CF5" w14:textId="77777777" w:rsidR="008D796E" w:rsidRPr="00F53236" w:rsidRDefault="00D77BAE" w:rsidP="002904F6">
            <w:pPr>
              <w:pStyle w:val="BodyTextIndent2"/>
              <w:tabs>
                <w:tab w:val="clear" w:pos="600"/>
              </w:tabs>
              <w:ind w:left="0"/>
              <w:jc w:val="center"/>
              <w:rPr>
                <w:sz w:val="22"/>
              </w:rPr>
            </w:pPr>
            <w:r w:rsidRPr="00F53236">
              <w:rPr>
                <w:sz w:val="22"/>
              </w:rPr>
              <w:t>N/C</w:t>
            </w:r>
          </w:p>
        </w:tc>
        <w:tc>
          <w:tcPr>
            <w:tcW w:w="1368" w:type="dxa"/>
            <w:shd w:val="clear" w:color="auto" w:fill="auto"/>
          </w:tcPr>
          <w:p w14:paraId="4B39EADC" w14:textId="77777777" w:rsidR="008D796E" w:rsidRPr="00F53236" w:rsidRDefault="008D796E" w:rsidP="002904F6">
            <w:pPr>
              <w:pStyle w:val="BodyTextIndent2"/>
              <w:tabs>
                <w:tab w:val="clear" w:pos="600"/>
              </w:tabs>
              <w:ind w:left="0"/>
              <w:jc w:val="center"/>
              <w:rPr>
                <w:sz w:val="22"/>
              </w:rPr>
            </w:pPr>
            <w:r w:rsidRPr="00F53236">
              <w:rPr>
                <w:sz w:val="22"/>
              </w:rPr>
              <w:t>$</w:t>
            </w:r>
          </w:p>
        </w:tc>
        <w:tc>
          <w:tcPr>
            <w:tcW w:w="1368" w:type="dxa"/>
            <w:shd w:val="clear" w:color="auto" w:fill="auto"/>
          </w:tcPr>
          <w:p w14:paraId="07F3DB2F" w14:textId="77777777" w:rsidR="008D796E" w:rsidRPr="00F53236" w:rsidRDefault="008D796E" w:rsidP="002904F6">
            <w:pPr>
              <w:pStyle w:val="BodyTextIndent2"/>
              <w:tabs>
                <w:tab w:val="clear" w:pos="600"/>
              </w:tabs>
              <w:ind w:left="0"/>
              <w:jc w:val="center"/>
              <w:rPr>
                <w:sz w:val="22"/>
              </w:rPr>
            </w:pPr>
            <w:r w:rsidRPr="00F53236">
              <w:rPr>
                <w:sz w:val="22"/>
              </w:rPr>
              <w:t>$</w:t>
            </w:r>
          </w:p>
        </w:tc>
        <w:tc>
          <w:tcPr>
            <w:tcW w:w="1368" w:type="dxa"/>
            <w:shd w:val="clear" w:color="auto" w:fill="auto"/>
          </w:tcPr>
          <w:p w14:paraId="312C44B6" w14:textId="77777777" w:rsidR="008D796E" w:rsidRPr="00F53236" w:rsidRDefault="008D796E" w:rsidP="002904F6">
            <w:pPr>
              <w:pStyle w:val="BodyTextIndent2"/>
              <w:tabs>
                <w:tab w:val="clear" w:pos="600"/>
              </w:tabs>
              <w:ind w:left="0"/>
              <w:jc w:val="center"/>
              <w:rPr>
                <w:sz w:val="22"/>
              </w:rPr>
            </w:pPr>
            <w:r w:rsidRPr="00F53236">
              <w:rPr>
                <w:sz w:val="22"/>
              </w:rPr>
              <w:t>$</w:t>
            </w:r>
          </w:p>
        </w:tc>
        <w:tc>
          <w:tcPr>
            <w:tcW w:w="1368" w:type="dxa"/>
            <w:shd w:val="clear" w:color="auto" w:fill="auto"/>
          </w:tcPr>
          <w:p w14:paraId="0A54BB29" w14:textId="77777777" w:rsidR="008D796E" w:rsidRPr="00F53236" w:rsidRDefault="008D796E" w:rsidP="002904F6">
            <w:pPr>
              <w:pStyle w:val="BodyTextIndent2"/>
              <w:tabs>
                <w:tab w:val="clear" w:pos="600"/>
              </w:tabs>
              <w:ind w:left="0"/>
              <w:jc w:val="center"/>
              <w:rPr>
                <w:sz w:val="22"/>
              </w:rPr>
            </w:pPr>
            <w:r w:rsidRPr="00F53236">
              <w:rPr>
                <w:sz w:val="22"/>
              </w:rPr>
              <w:t>$</w:t>
            </w:r>
          </w:p>
        </w:tc>
        <w:tc>
          <w:tcPr>
            <w:tcW w:w="1368" w:type="dxa"/>
            <w:shd w:val="clear" w:color="auto" w:fill="auto"/>
          </w:tcPr>
          <w:p w14:paraId="6F9CBA7B" w14:textId="77777777" w:rsidR="008D796E" w:rsidRPr="00F53236" w:rsidRDefault="008D796E" w:rsidP="002904F6">
            <w:pPr>
              <w:pStyle w:val="BodyTextIndent2"/>
              <w:tabs>
                <w:tab w:val="clear" w:pos="600"/>
              </w:tabs>
              <w:ind w:left="0"/>
              <w:jc w:val="center"/>
              <w:rPr>
                <w:sz w:val="22"/>
              </w:rPr>
            </w:pPr>
            <w:r w:rsidRPr="00F53236">
              <w:rPr>
                <w:sz w:val="22"/>
              </w:rPr>
              <w:t>R or D</w:t>
            </w:r>
          </w:p>
        </w:tc>
      </w:tr>
      <w:tr w:rsidR="008D796E" w:rsidRPr="00F53236" w14:paraId="01D30E38" w14:textId="77777777" w:rsidTr="002904F6">
        <w:tc>
          <w:tcPr>
            <w:tcW w:w="1638" w:type="dxa"/>
            <w:shd w:val="clear" w:color="auto" w:fill="C0C0C0"/>
          </w:tcPr>
          <w:p w14:paraId="3AB0146C" w14:textId="77777777" w:rsidR="008D796E" w:rsidRPr="00F53236" w:rsidRDefault="008D796E" w:rsidP="002904F6">
            <w:pPr>
              <w:pStyle w:val="BodyTextIndent2"/>
              <w:tabs>
                <w:tab w:val="clear" w:pos="600"/>
              </w:tabs>
              <w:ind w:left="180"/>
              <w:rPr>
                <w:sz w:val="22"/>
              </w:rPr>
            </w:pPr>
            <w:r w:rsidRPr="00F53236">
              <w:rPr>
                <w:sz w:val="22"/>
              </w:rPr>
              <w:t xml:space="preserve">Student Org – </w:t>
            </w:r>
            <w:proofErr w:type="gramStart"/>
            <w:r w:rsidRPr="00F53236">
              <w:rPr>
                <w:sz w:val="22"/>
              </w:rPr>
              <w:t>Non Music</w:t>
            </w:r>
            <w:proofErr w:type="gramEnd"/>
          </w:p>
        </w:tc>
        <w:tc>
          <w:tcPr>
            <w:tcW w:w="1098" w:type="dxa"/>
            <w:shd w:val="clear" w:color="auto" w:fill="auto"/>
          </w:tcPr>
          <w:p w14:paraId="100C3553" w14:textId="77777777" w:rsidR="008D796E" w:rsidRPr="00F53236" w:rsidRDefault="00D77BAE" w:rsidP="002904F6">
            <w:pPr>
              <w:pStyle w:val="BodyTextIndent2"/>
              <w:tabs>
                <w:tab w:val="clear" w:pos="600"/>
              </w:tabs>
              <w:ind w:left="0"/>
              <w:jc w:val="center"/>
              <w:rPr>
                <w:sz w:val="22"/>
              </w:rPr>
            </w:pPr>
            <w:r w:rsidRPr="00F53236">
              <w:rPr>
                <w:sz w:val="22"/>
              </w:rPr>
              <w:t>N/C</w:t>
            </w:r>
          </w:p>
        </w:tc>
        <w:tc>
          <w:tcPr>
            <w:tcW w:w="1368" w:type="dxa"/>
            <w:shd w:val="clear" w:color="auto" w:fill="auto"/>
          </w:tcPr>
          <w:p w14:paraId="3F666C92" w14:textId="77777777" w:rsidR="008D796E" w:rsidRPr="00F53236" w:rsidRDefault="008D796E" w:rsidP="002904F6">
            <w:pPr>
              <w:pStyle w:val="BodyTextIndent2"/>
              <w:tabs>
                <w:tab w:val="clear" w:pos="600"/>
              </w:tabs>
              <w:ind w:left="0"/>
              <w:jc w:val="center"/>
              <w:rPr>
                <w:sz w:val="22"/>
              </w:rPr>
            </w:pPr>
            <w:r w:rsidRPr="00F53236">
              <w:rPr>
                <w:sz w:val="22"/>
              </w:rPr>
              <w:t>$</w:t>
            </w:r>
          </w:p>
        </w:tc>
        <w:tc>
          <w:tcPr>
            <w:tcW w:w="1368" w:type="dxa"/>
            <w:shd w:val="clear" w:color="auto" w:fill="auto"/>
          </w:tcPr>
          <w:p w14:paraId="575FF873" w14:textId="77777777" w:rsidR="008D796E" w:rsidRPr="00F53236" w:rsidRDefault="008D796E" w:rsidP="002904F6">
            <w:pPr>
              <w:pStyle w:val="BodyTextIndent2"/>
              <w:tabs>
                <w:tab w:val="clear" w:pos="600"/>
              </w:tabs>
              <w:ind w:left="0"/>
              <w:jc w:val="center"/>
              <w:rPr>
                <w:sz w:val="22"/>
              </w:rPr>
            </w:pPr>
            <w:r w:rsidRPr="00F53236">
              <w:rPr>
                <w:sz w:val="22"/>
              </w:rPr>
              <w:t>$</w:t>
            </w:r>
          </w:p>
        </w:tc>
        <w:tc>
          <w:tcPr>
            <w:tcW w:w="1368" w:type="dxa"/>
            <w:shd w:val="clear" w:color="auto" w:fill="auto"/>
          </w:tcPr>
          <w:p w14:paraId="17CB44B2" w14:textId="77777777" w:rsidR="008D796E" w:rsidRPr="00F53236" w:rsidRDefault="008D796E" w:rsidP="002904F6">
            <w:pPr>
              <w:pStyle w:val="BodyTextIndent2"/>
              <w:tabs>
                <w:tab w:val="clear" w:pos="600"/>
              </w:tabs>
              <w:ind w:left="0"/>
              <w:jc w:val="center"/>
              <w:rPr>
                <w:sz w:val="22"/>
              </w:rPr>
            </w:pPr>
            <w:r w:rsidRPr="00F53236">
              <w:rPr>
                <w:sz w:val="22"/>
              </w:rPr>
              <w:t>$</w:t>
            </w:r>
          </w:p>
        </w:tc>
        <w:tc>
          <w:tcPr>
            <w:tcW w:w="1368" w:type="dxa"/>
            <w:shd w:val="clear" w:color="auto" w:fill="auto"/>
          </w:tcPr>
          <w:p w14:paraId="6C17303C" w14:textId="77777777" w:rsidR="008D796E" w:rsidRPr="00F53236" w:rsidRDefault="008D796E" w:rsidP="002904F6">
            <w:pPr>
              <w:pStyle w:val="BodyTextIndent2"/>
              <w:tabs>
                <w:tab w:val="clear" w:pos="600"/>
              </w:tabs>
              <w:ind w:left="0"/>
              <w:jc w:val="center"/>
              <w:rPr>
                <w:sz w:val="22"/>
              </w:rPr>
            </w:pPr>
            <w:r w:rsidRPr="00F53236">
              <w:rPr>
                <w:sz w:val="22"/>
              </w:rPr>
              <w:t>$</w:t>
            </w:r>
          </w:p>
        </w:tc>
        <w:tc>
          <w:tcPr>
            <w:tcW w:w="1368" w:type="dxa"/>
            <w:shd w:val="clear" w:color="auto" w:fill="auto"/>
          </w:tcPr>
          <w:p w14:paraId="50A26A41" w14:textId="77777777" w:rsidR="008D796E" w:rsidRPr="00F53236" w:rsidRDefault="008D796E" w:rsidP="002904F6">
            <w:pPr>
              <w:pStyle w:val="BodyTextIndent2"/>
              <w:tabs>
                <w:tab w:val="clear" w:pos="600"/>
              </w:tabs>
              <w:ind w:left="0"/>
              <w:jc w:val="center"/>
              <w:rPr>
                <w:sz w:val="22"/>
              </w:rPr>
            </w:pPr>
            <w:proofErr w:type="spellStart"/>
            <w:r w:rsidRPr="00F53236">
              <w:rPr>
                <w:sz w:val="22"/>
              </w:rPr>
              <w:t>Diers</w:t>
            </w:r>
            <w:proofErr w:type="spellEnd"/>
          </w:p>
        </w:tc>
      </w:tr>
      <w:tr w:rsidR="008D796E" w:rsidRPr="00F53236" w14:paraId="1115A6E0" w14:textId="77777777" w:rsidTr="002904F6">
        <w:tc>
          <w:tcPr>
            <w:tcW w:w="1638" w:type="dxa"/>
            <w:shd w:val="clear" w:color="auto" w:fill="C0C0C0"/>
          </w:tcPr>
          <w:p w14:paraId="18D51C37" w14:textId="77777777" w:rsidR="008D796E" w:rsidRPr="00F53236" w:rsidRDefault="00193639" w:rsidP="002904F6">
            <w:pPr>
              <w:pStyle w:val="BodyTextIndent2"/>
              <w:tabs>
                <w:tab w:val="clear" w:pos="600"/>
              </w:tabs>
              <w:ind w:left="180"/>
              <w:rPr>
                <w:sz w:val="22"/>
              </w:rPr>
            </w:pPr>
            <w:r w:rsidRPr="00F53236">
              <w:rPr>
                <w:sz w:val="22"/>
              </w:rPr>
              <w:t>N</w:t>
            </w:r>
            <w:r w:rsidR="008D796E" w:rsidRPr="00F53236">
              <w:rPr>
                <w:sz w:val="22"/>
              </w:rPr>
              <w:t>on-</w:t>
            </w:r>
            <w:proofErr w:type="spellStart"/>
            <w:r w:rsidR="008D796E" w:rsidRPr="00F53236">
              <w:rPr>
                <w:sz w:val="22"/>
              </w:rPr>
              <w:t>Univ</w:t>
            </w:r>
            <w:proofErr w:type="spellEnd"/>
          </w:p>
        </w:tc>
        <w:tc>
          <w:tcPr>
            <w:tcW w:w="1098" w:type="dxa"/>
            <w:shd w:val="clear" w:color="auto" w:fill="auto"/>
          </w:tcPr>
          <w:p w14:paraId="42A8215B" w14:textId="77777777" w:rsidR="008D796E" w:rsidRPr="00F53236" w:rsidRDefault="008D796E" w:rsidP="002904F6">
            <w:pPr>
              <w:pStyle w:val="BodyTextIndent2"/>
              <w:tabs>
                <w:tab w:val="clear" w:pos="600"/>
              </w:tabs>
              <w:ind w:left="0"/>
              <w:jc w:val="center"/>
              <w:rPr>
                <w:sz w:val="22"/>
              </w:rPr>
            </w:pPr>
            <w:r w:rsidRPr="00F53236">
              <w:rPr>
                <w:sz w:val="22"/>
              </w:rPr>
              <w:t>$</w:t>
            </w:r>
          </w:p>
        </w:tc>
        <w:tc>
          <w:tcPr>
            <w:tcW w:w="1368" w:type="dxa"/>
            <w:shd w:val="clear" w:color="auto" w:fill="auto"/>
          </w:tcPr>
          <w:p w14:paraId="47147374" w14:textId="77777777" w:rsidR="008D796E" w:rsidRPr="00F53236" w:rsidRDefault="008D796E" w:rsidP="002904F6">
            <w:pPr>
              <w:pStyle w:val="BodyTextIndent2"/>
              <w:tabs>
                <w:tab w:val="clear" w:pos="600"/>
              </w:tabs>
              <w:ind w:left="0"/>
              <w:jc w:val="center"/>
              <w:rPr>
                <w:sz w:val="22"/>
              </w:rPr>
            </w:pPr>
            <w:r w:rsidRPr="00F53236">
              <w:rPr>
                <w:sz w:val="22"/>
              </w:rPr>
              <w:t>$</w:t>
            </w:r>
          </w:p>
        </w:tc>
        <w:tc>
          <w:tcPr>
            <w:tcW w:w="1368" w:type="dxa"/>
            <w:shd w:val="clear" w:color="auto" w:fill="auto"/>
          </w:tcPr>
          <w:p w14:paraId="769E0958" w14:textId="77777777" w:rsidR="008D796E" w:rsidRPr="00F53236" w:rsidRDefault="008D796E" w:rsidP="002904F6">
            <w:pPr>
              <w:pStyle w:val="BodyTextIndent2"/>
              <w:tabs>
                <w:tab w:val="clear" w:pos="600"/>
              </w:tabs>
              <w:ind w:left="0"/>
              <w:jc w:val="center"/>
              <w:rPr>
                <w:sz w:val="22"/>
              </w:rPr>
            </w:pPr>
            <w:r w:rsidRPr="00F53236">
              <w:rPr>
                <w:sz w:val="22"/>
              </w:rPr>
              <w:t>$</w:t>
            </w:r>
          </w:p>
        </w:tc>
        <w:tc>
          <w:tcPr>
            <w:tcW w:w="1368" w:type="dxa"/>
            <w:shd w:val="clear" w:color="auto" w:fill="auto"/>
          </w:tcPr>
          <w:p w14:paraId="27D97DDD" w14:textId="77777777" w:rsidR="008D796E" w:rsidRPr="00F53236" w:rsidRDefault="008D796E" w:rsidP="002904F6">
            <w:pPr>
              <w:pStyle w:val="BodyTextIndent2"/>
              <w:tabs>
                <w:tab w:val="clear" w:pos="600"/>
              </w:tabs>
              <w:ind w:left="0"/>
              <w:jc w:val="center"/>
              <w:rPr>
                <w:sz w:val="22"/>
              </w:rPr>
            </w:pPr>
            <w:r w:rsidRPr="00F53236">
              <w:rPr>
                <w:sz w:val="22"/>
              </w:rPr>
              <w:t>$</w:t>
            </w:r>
          </w:p>
        </w:tc>
        <w:tc>
          <w:tcPr>
            <w:tcW w:w="1368" w:type="dxa"/>
            <w:shd w:val="clear" w:color="auto" w:fill="auto"/>
          </w:tcPr>
          <w:p w14:paraId="5DBE5BBA" w14:textId="77777777" w:rsidR="008D796E" w:rsidRPr="00F53236" w:rsidRDefault="008D796E" w:rsidP="002904F6">
            <w:pPr>
              <w:pStyle w:val="BodyTextIndent2"/>
              <w:tabs>
                <w:tab w:val="clear" w:pos="600"/>
              </w:tabs>
              <w:ind w:left="0"/>
              <w:jc w:val="center"/>
              <w:rPr>
                <w:sz w:val="22"/>
              </w:rPr>
            </w:pPr>
            <w:r w:rsidRPr="00F53236">
              <w:rPr>
                <w:sz w:val="22"/>
              </w:rPr>
              <w:t>$</w:t>
            </w:r>
          </w:p>
        </w:tc>
        <w:tc>
          <w:tcPr>
            <w:tcW w:w="1368" w:type="dxa"/>
            <w:shd w:val="clear" w:color="auto" w:fill="auto"/>
          </w:tcPr>
          <w:p w14:paraId="6AD1E39B" w14:textId="77777777" w:rsidR="008D796E" w:rsidRPr="00F53236" w:rsidRDefault="008D796E" w:rsidP="002904F6">
            <w:pPr>
              <w:pStyle w:val="BodyTextIndent2"/>
              <w:tabs>
                <w:tab w:val="clear" w:pos="600"/>
              </w:tabs>
              <w:ind w:left="0"/>
              <w:jc w:val="center"/>
              <w:rPr>
                <w:sz w:val="22"/>
              </w:rPr>
            </w:pPr>
            <w:r w:rsidRPr="00F53236">
              <w:rPr>
                <w:sz w:val="22"/>
              </w:rPr>
              <w:t>R or D</w:t>
            </w:r>
          </w:p>
        </w:tc>
      </w:tr>
    </w:tbl>
    <w:p w14:paraId="06AF92B4" w14:textId="77777777" w:rsidR="00A97C89" w:rsidRPr="00F53236" w:rsidRDefault="00A97C89" w:rsidP="002F68F8">
      <w:pPr>
        <w:pStyle w:val="BodyTextIndent2"/>
        <w:tabs>
          <w:tab w:val="clear" w:pos="600"/>
        </w:tabs>
        <w:ind w:left="0"/>
      </w:pPr>
    </w:p>
    <w:p w14:paraId="189BC721" w14:textId="77777777" w:rsidR="008D796E" w:rsidRPr="00F53236" w:rsidRDefault="008D796E" w:rsidP="002F68F8">
      <w:pPr>
        <w:pStyle w:val="BodyTextIndent2"/>
        <w:tabs>
          <w:tab w:val="clear" w:pos="600"/>
        </w:tabs>
        <w:ind w:left="0"/>
      </w:pPr>
    </w:p>
    <w:p w14:paraId="2B32F842" w14:textId="77777777" w:rsidR="008D796E" w:rsidRPr="00F53236" w:rsidRDefault="008D796E" w:rsidP="002F68F8">
      <w:pPr>
        <w:pStyle w:val="BodyTextIndent2"/>
        <w:tabs>
          <w:tab w:val="clear" w:pos="600"/>
        </w:tabs>
        <w:ind w:left="0"/>
        <w:rPr>
          <w:u w:val="single"/>
        </w:rPr>
      </w:pPr>
      <w:r w:rsidRPr="00F53236">
        <w:rPr>
          <w:u w:val="single"/>
        </w:rPr>
        <w:t>Notes</w:t>
      </w:r>
    </w:p>
    <w:p w14:paraId="5D6AC973" w14:textId="77777777" w:rsidR="00CD4F1C" w:rsidRPr="00F53236" w:rsidRDefault="00CD4F1C" w:rsidP="003433FC">
      <w:pPr>
        <w:pStyle w:val="BodyTextIndent2"/>
        <w:numPr>
          <w:ilvl w:val="0"/>
          <w:numId w:val="2"/>
        </w:numPr>
        <w:tabs>
          <w:tab w:val="clear" w:pos="600"/>
          <w:tab w:val="left" w:pos="360"/>
        </w:tabs>
        <w:ind w:left="360" w:hanging="360"/>
      </w:pPr>
      <w:r w:rsidRPr="00F53236">
        <w:t xml:space="preserve">Events </w:t>
      </w:r>
      <w:r w:rsidR="007B6B9E" w:rsidRPr="00F53236">
        <w:t>must be</w:t>
      </w:r>
      <w:r w:rsidR="008D796E" w:rsidRPr="00F53236">
        <w:t xml:space="preserve"> held in </w:t>
      </w:r>
      <w:proofErr w:type="spellStart"/>
      <w:r w:rsidR="008D796E" w:rsidRPr="00F53236">
        <w:t>Diers</w:t>
      </w:r>
      <w:proofErr w:type="spellEnd"/>
      <w:r w:rsidR="008D796E" w:rsidRPr="00F53236">
        <w:t xml:space="preserve"> Recital Hall</w:t>
      </w:r>
    </w:p>
    <w:p w14:paraId="64BF39EF" w14:textId="77777777" w:rsidR="008D796E" w:rsidRPr="00F53236" w:rsidRDefault="00CD4F1C" w:rsidP="003433FC">
      <w:pPr>
        <w:pStyle w:val="BodyTextIndent2"/>
        <w:numPr>
          <w:ilvl w:val="0"/>
          <w:numId w:val="2"/>
        </w:numPr>
        <w:tabs>
          <w:tab w:val="clear" w:pos="600"/>
          <w:tab w:val="left" w:pos="360"/>
        </w:tabs>
        <w:ind w:left="360" w:hanging="360"/>
      </w:pPr>
      <w:r w:rsidRPr="00F53236">
        <w:t>I</w:t>
      </w:r>
      <w:r w:rsidR="008D796E" w:rsidRPr="00F53236">
        <w:t xml:space="preserve">f </w:t>
      </w:r>
      <w:r w:rsidRPr="00F53236">
        <w:t xml:space="preserve">an </w:t>
      </w:r>
      <w:r w:rsidR="008D796E" w:rsidRPr="00F53236">
        <w:t xml:space="preserve">event features </w:t>
      </w:r>
      <w:r w:rsidRPr="00F53236">
        <w:t xml:space="preserve">a </w:t>
      </w:r>
      <w:r w:rsidR="008D796E" w:rsidRPr="00F53236">
        <w:t>guest artist</w:t>
      </w:r>
      <w:r w:rsidRPr="00F53236">
        <w:t>(s)</w:t>
      </w:r>
      <w:r w:rsidR="008D796E" w:rsidRPr="00F53236">
        <w:t xml:space="preserve">, </w:t>
      </w:r>
      <w:r w:rsidR="00E161D2" w:rsidRPr="00F53236">
        <w:t xml:space="preserve">the </w:t>
      </w:r>
      <w:r w:rsidR="007B6B9E" w:rsidRPr="00F53236">
        <w:t xml:space="preserve">event may be held </w:t>
      </w:r>
      <w:r w:rsidR="008D796E" w:rsidRPr="00F53236">
        <w:t>in Rosch Recital Hall if the School of Music is co-sponsor</w:t>
      </w:r>
    </w:p>
    <w:p w14:paraId="171E7B04" w14:textId="77777777" w:rsidR="00126786" w:rsidRPr="00F53236" w:rsidRDefault="00126786" w:rsidP="008B25DE">
      <w:pPr>
        <w:pStyle w:val="BodyTextIndent2"/>
        <w:tabs>
          <w:tab w:val="clear" w:pos="600"/>
        </w:tabs>
        <w:ind w:left="0"/>
        <w:rPr>
          <w:b/>
          <w:i/>
        </w:rPr>
      </w:pPr>
    </w:p>
    <w:p w14:paraId="0761FF3B" w14:textId="77777777" w:rsidR="00126786" w:rsidRPr="00F53236" w:rsidRDefault="00126786" w:rsidP="008B25DE">
      <w:pPr>
        <w:pStyle w:val="BodyTextIndent2"/>
        <w:tabs>
          <w:tab w:val="clear" w:pos="600"/>
        </w:tabs>
        <w:ind w:left="0"/>
        <w:rPr>
          <w:b/>
          <w:i/>
        </w:rPr>
      </w:pPr>
    </w:p>
    <w:p w14:paraId="55892571" w14:textId="77777777" w:rsidR="00621F46" w:rsidRPr="00F53236" w:rsidRDefault="002A7219" w:rsidP="008B25DE">
      <w:pPr>
        <w:pStyle w:val="BodyTextIndent2"/>
        <w:tabs>
          <w:tab w:val="clear" w:pos="600"/>
        </w:tabs>
        <w:ind w:left="0"/>
        <w:rPr>
          <w:b/>
          <w:i/>
        </w:rPr>
      </w:pPr>
      <w:r w:rsidRPr="00F53236">
        <w:rPr>
          <w:b/>
          <w:i/>
        </w:rPr>
        <w:t>C</w:t>
      </w:r>
      <w:r w:rsidR="00621F46" w:rsidRPr="00F53236">
        <w:rPr>
          <w:b/>
          <w:i/>
        </w:rPr>
        <w:t xml:space="preserve">harges for use of Mason Hall </w:t>
      </w:r>
    </w:p>
    <w:p w14:paraId="096E43EF" w14:textId="77777777" w:rsidR="00621F46" w:rsidRPr="00CD4F1C" w:rsidRDefault="00621F46" w:rsidP="002A7219">
      <w:pPr>
        <w:pStyle w:val="BodyTextIndent"/>
        <w:tabs>
          <w:tab w:val="num" w:pos="840"/>
        </w:tabs>
        <w:ind w:left="0"/>
      </w:pPr>
      <w:r w:rsidRPr="00F53236">
        <w:t>Charges for activities in Mason Hall are based on the Priority Groups as stated in Section 4.4.  Charges include facility rental, personnel fees for services and maintenance charges on equipment and instruments based on the fee schedule of the School of Music (see Appendix A).  If the School of Music or the University must rent equipment that is not normally available, those charges will be passed along to the user in all circumstances.  If the use of Mason Hall is held when classes are not in session, all users may be subject to facility rental and personnel charges.</w:t>
      </w:r>
    </w:p>
    <w:p w14:paraId="6630E02B" w14:textId="77777777" w:rsidR="00621F46" w:rsidRPr="00CD4F1C" w:rsidRDefault="00621F46" w:rsidP="00621F46">
      <w:pPr>
        <w:pStyle w:val="BodyTextIndent"/>
        <w:tabs>
          <w:tab w:val="num" w:pos="840"/>
        </w:tabs>
        <w:ind w:left="360"/>
      </w:pPr>
    </w:p>
    <w:p w14:paraId="7C14C23C" w14:textId="77777777" w:rsidR="00621F46" w:rsidRPr="00CD4F1C" w:rsidRDefault="00621F46"/>
    <w:sectPr w:rsidR="00621F46" w:rsidRPr="00CD4F1C" w:rsidSect="00641E7A">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866FFF"/>
    <w:multiLevelType w:val="hybridMultilevel"/>
    <w:tmpl w:val="FDC64642"/>
    <w:lvl w:ilvl="0" w:tplc="82D4759A">
      <w:start w:val="1"/>
      <w:numFmt w:val="decimal"/>
      <w:lvlText w:val="%1)"/>
      <w:lvlJc w:val="left"/>
      <w:pPr>
        <w:ind w:left="2520" w:hanging="72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7AAE3492"/>
    <w:multiLevelType w:val="multilevel"/>
    <w:tmpl w:val="27E4BA1E"/>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21F46"/>
    <w:rsid w:val="00033024"/>
    <w:rsid w:val="00113009"/>
    <w:rsid w:val="00126786"/>
    <w:rsid w:val="00193639"/>
    <w:rsid w:val="001C3A4C"/>
    <w:rsid w:val="001E51F4"/>
    <w:rsid w:val="002904F6"/>
    <w:rsid w:val="002A7219"/>
    <w:rsid w:val="002F68F8"/>
    <w:rsid w:val="003233F1"/>
    <w:rsid w:val="00332992"/>
    <w:rsid w:val="003433FC"/>
    <w:rsid w:val="003B40AA"/>
    <w:rsid w:val="003D66EE"/>
    <w:rsid w:val="003F2588"/>
    <w:rsid w:val="0048449F"/>
    <w:rsid w:val="00591883"/>
    <w:rsid w:val="005F7E22"/>
    <w:rsid w:val="00621F46"/>
    <w:rsid w:val="00641E7A"/>
    <w:rsid w:val="006715CD"/>
    <w:rsid w:val="007128B9"/>
    <w:rsid w:val="00715B8C"/>
    <w:rsid w:val="007B6B9E"/>
    <w:rsid w:val="007C6DF2"/>
    <w:rsid w:val="007E1E1E"/>
    <w:rsid w:val="008534A8"/>
    <w:rsid w:val="008833F6"/>
    <w:rsid w:val="008B19A2"/>
    <w:rsid w:val="008B25DE"/>
    <w:rsid w:val="008B2BEF"/>
    <w:rsid w:val="008B4145"/>
    <w:rsid w:val="008D3168"/>
    <w:rsid w:val="008D796E"/>
    <w:rsid w:val="008F0917"/>
    <w:rsid w:val="00952720"/>
    <w:rsid w:val="00962D7A"/>
    <w:rsid w:val="00980BA1"/>
    <w:rsid w:val="00A97C89"/>
    <w:rsid w:val="00BB40F7"/>
    <w:rsid w:val="00C06DC3"/>
    <w:rsid w:val="00C318D6"/>
    <w:rsid w:val="00CB529F"/>
    <w:rsid w:val="00CD4F1C"/>
    <w:rsid w:val="00D103B0"/>
    <w:rsid w:val="00D77BAE"/>
    <w:rsid w:val="00E161D2"/>
    <w:rsid w:val="00E23AA3"/>
    <w:rsid w:val="00E613B5"/>
    <w:rsid w:val="00E84E73"/>
    <w:rsid w:val="00EA7E4A"/>
    <w:rsid w:val="00F53236"/>
    <w:rsid w:val="00FE6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4D096F"/>
  <w14:defaultImageDpi w14:val="300"/>
  <w15:chartTrackingRefBased/>
  <w15:docId w15:val="{02DD942D-E1D1-C34E-BE8B-22C40D8D3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21F46"/>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rsid w:val="00621F46"/>
    <w:pPr>
      <w:ind w:left="180"/>
      <w:jc w:val="both"/>
    </w:pPr>
  </w:style>
  <w:style w:type="paragraph" w:styleId="BodyTextIndent2">
    <w:name w:val="Body Text Indent 2"/>
    <w:basedOn w:val="Normal"/>
    <w:rsid w:val="00621F46"/>
    <w:pPr>
      <w:tabs>
        <w:tab w:val="left" w:pos="600"/>
      </w:tabs>
      <w:ind w:left="600"/>
      <w:jc w:val="both"/>
    </w:pPr>
  </w:style>
  <w:style w:type="table" w:styleId="TableGrid">
    <w:name w:val="Table Grid"/>
    <w:basedOn w:val="TableNormal"/>
    <w:rsid w:val="00A97C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642</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MASON HALL</vt:lpstr>
    </vt:vector>
  </TitlesOfParts>
  <Company>SUNY Fredonia</Company>
  <LinksUpToDate>false</LinksUpToDate>
  <CharactersWithSpaces>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MASON HALL</dc:title>
  <dc:subject/>
  <dc:creator> </dc:creator>
  <cp:keywords/>
  <dc:description/>
  <cp:lastModifiedBy>Microsoft Office User</cp:lastModifiedBy>
  <cp:revision>2</cp:revision>
  <cp:lastPrinted>2019-04-02T14:02:00Z</cp:lastPrinted>
  <dcterms:created xsi:type="dcterms:W3CDTF">2019-04-02T17:03:00Z</dcterms:created>
  <dcterms:modified xsi:type="dcterms:W3CDTF">2019-04-02T17:03:00Z</dcterms:modified>
</cp:coreProperties>
</file>